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8CEA" w14:textId="33A02DAB" w:rsidR="009312B6" w:rsidRDefault="00473304" w:rsidP="00473304">
      <w:pPr>
        <w:jc w:val="center"/>
        <w:rPr>
          <w:b/>
          <w:bCs/>
        </w:rPr>
      </w:pPr>
      <w:r>
        <w:rPr>
          <w:b/>
          <w:bCs/>
        </w:rPr>
        <w:t>WOODLANDS BEHAVIORAL HEALTHCARE NETWORK</w:t>
      </w:r>
    </w:p>
    <w:p w14:paraId="7260090D" w14:textId="04C93CD3" w:rsidR="009312B6" w:rsidRPr="004F43BF" w:rsidRDefault="00B7309F" w:rsidP="004F43BF">
      <w:pPr>
        <w:jc w:val="center"/>
        <w:rPr>
          <w:b/>
          <w:bCs/>
          <w:u w:val="single"/>
        </w:rPr>
      </w:pPr>
      <w:r>
        <w:rPr>
          <w:b/>
          <w:bCs/>
          <w:u w:val="single"/>
        </w:rPr>
        <w:t>POLICY</w:t>
      </w:r>
      <w:r w:rsidR="00520729">
        <w:rPr>
          <w:b/>
          <w:bCs/>
          <w:u w:val="single"/>
        </w:rPr>
        <w:t xml:space="preserve"> &amp; PROCEDURE</w:t>
      </w:r>
    </w:p>
    <w:p w14:paraId="271AC806" w14:textId="77777777" w:rsidR="009236D6" w:rsidRPr="00520729" w:rsidRDefault="009236D6" w:rsidP="007B09C3">
      <w:pPr>
        <w:spacing w:before="0" w:after="0"/>
        <w:rPr>
          <w:rFonts w:ascii="Arial" w:hAnsi="Arial" w:cs="Arial"/>
          <w:b/>
          <w:bCs/>
          <w:sz w:val="20"/>
        </w:rPr>
      </w:pPr>
    </w:p>
    <w:tbl>
      <w:tblPr>
        <w:tblW w:w="9825" w:type="dxa"/>
        <w:tblCellMar>
          <w:left w:w="0" w:type="dxa"/>
          <w:right w:w="0" w:type="dxa"/>
        </w:tblCellMar>
        <w:tblLook w:val="04A0" w:firstRow="1" w:lastRow="0" w:firstColumn="1" w:lastColumn="0" w:noHBand="0" w:noVBand="1"/>
      </w:tblPr>
      <w:tblGrid>
        <w:gridCol w:w="1615"/>
        <w:gridCol w:w="2339"/>
        <w:gridCol w:w="2272"/>
        <w:gridCol w:w="3599"/>
      </w:tblGrid>
      <w:tr w:rsidR="00C37920" w:rsidRPr="0088672C" w14:paraId="60CCC8E4" w14:textId="77777777" w:rsidTr="002E7F0E">
        <w:tc>
          <w:tcPr>
            <w:tcW w:w="6226"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14:paraId="20C75F37" w14:textId="32BF8F39" w:rsidR="00130432" w:rsidRPr="0088672C" w:rsidRDefault="00C37920">
            <w:pPr>
              <w:spacing w:before="20" w:after="20" w:line="252" w:lineRule="auto"/>
              <w:rPr>
                <w:rFonts w:ascii="Times New Roman" w:hAnsi="Times New Roman"/>
                <w:b/>
                <w:bCs/>
              </w:rPr>
            </w:pPr>
            <w:r w:rsidRPr="0088672C">
              <w:rPr>
                <w:rFonts w:ascii="Times New Roman" w:hAnsi="Times New Roman"/>
                <w:b/>
                <w:bCs/>
              </w:rPr>
              <w:t>Title:</w:t>
            </w:r>
            <w:r w:rsidR="001446BB" w:rsidRPr="0088672C">
              <w:rPr>
                <w:rFonts w:ascii="Times New Roman" w:hAnsi="Times New Roman"/>
                <w:b/>
                <w:bCs/>
              </w:rPr>
              <w:t xml:space="preserve"> </w:t>
            </w:r>
          </w:p>
        </w:tc>
        <w:tc>
          <w:tcPr>
            <w:tcW w:w="359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1B9C9354" w14:textId="77777777" w:rsidR="00C37920" w:rsidRPr="0088672C" w:rsidRDefault="00C37920">
            <w:pPr>
              <w:spacing w:before="20" w:after="20" w:line="252" w:lineRule="auto"/>
              <w:rPr>
                <w:rFonts w:ascii="Times New Roman" w:hAnsi="Times New Roman"/>
                <w:b/>
                <w:bCs/>
                <w:color w:val="FF0000"/>
                <w:sz w:val="22"/>
                <w:szCs w:val="22"/>
              </w:rPr>
            </w:pPr>
            <w:r w:rsidRPr="0088672C">
              <w:rPr>
                <w:rFonts w:ascii="Times New Roman" w:hAnsi="Times New Roman"/>
                <w:b/>
                <w:bCs/>
              </w:rPr>
              <w:t>Section:</w:t>
            </w:r>
          </w:p>
        </w:tc>
      </w:tr>
      <w:tr w:rsidR="00130432" w:rsidRPr="0088672C" w14:paraId="4A6A727F" w14:textId="77777777" w:rsidTr="002E7F0E">
        <w:tc>
          <w:tcPr>
            <w:tcW w:w="6226" w:type="dxa"/>
            <w:gridSpan w:val="3"/>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bottom"/>
          </w:tcPr>
          <w:p w14:paraId="42750054" w14:textId="2D372F8B" w:rsidR="00130432" w:rsidRPr="00AD1701" w:rsidRDefault="00FD6761">
            <w:pPr>
              <w:spacing w:before="20" w:after="20" w:line="252" w:lineRule="auto"/>
              <w:rPr>
                <w:rFonts w:asciiTheme="minorHAnsi" w:hAnsiTheme="minorHAnsi" w:cstheme="minorHAnsi"/>
              </w:rPr>
            </w:pPr>
            <w:r w:rsidRPr="00AD1701">
              <w:rPr>
                <w:rFonts w:asciiTheme="minorHAnsi" w:hAnsiTheme="minorHAnsi" w:cstheme="minorHAnsi"/>
              </w:rPr>
              <w:t>Advanced Directives</w:t>
            </w:r>
          </w:p>
        </w:tc>
        <w:tc>
          <w:tcPr>
            <w:tcW w:w="3599"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1D9A7AEC" w14:textId="3CD97778" w:rsidR="00130432" w:rsidRPr="00AD1701" w:rsidRDefault="002E7F0E">
            <w:pPr>
              <w:spacing w:before="20" w:after="20" w:line="252" w:lineRule="auto"/>
              <w:rPr>
                <w:rFonts w:asciiTheme="minorHAnsi" w:hAnsiTheme="minorHAnsi" w:cstheme="minorHAnsi"/>
              </w:rPr>
            </w:pPr>
            <w:r w:rsidRPr="00AD1701">
              <w:rPr>
                <w:rFonts w:asciiTheme="minorHAnsi" w:hAnsiTheme="minorHAnsi" w:cstheme="minorHAnsi"/>
              </w:rPr>
              <w:t>Customer Service</w:t>
            </w:r>
            <w:r w:rsidR="00810127" w:rsidRPr="00AD1701">
              <w:rPr>
                <w:rFonts w:asciiTheme="minorHAnsi" w:hAnsiTheme="minorHAnsi" w:cstheme="minorHAnsi"/>
              </w:rPr>
              <w:t>s</w:t>
            </w:r>
          </w:p>
        </w:tc>
      </w:tr>
      <w:tr w:rsidR="00C37920" w:rsidRPr="0088672C" w14:paraId="09E5113F" w14:textId="77777777" w:rsidTr="002E7F0E">
        <w:tc>
          <w:tcPr>
            <w:tcW w:w="6226" w:type="dxa"/>
            <w:gridSpan w:val="3"/>
            <w:tcBorders>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2B43C8B1" w14:textId="588F3829" w:rsidR="00C37920" w:rsidRPr="0088672C" w:rsidRDefault="00C37920">
            <w:pPr>
              <w:spacing w:before="20" w:after="20" w:line="252" w:lineRule="auto"/>
              <w:rPr>
                <w:rFonts w:ascii="Times New Roman" w:hAnsi="Times New Roman"/>
                <w:b/>
                <w:bCs/>
                <w:color w:val="FF0000"/>
              </w:rPr>
            </w:pPr>
          </w:p>
        </w:tc>
        <w:tc>
          <w:tcPr>
            <w:tcW w:w="3599" w:type="dxa"/>
            <w:tcBorders>
              <w:left w:val="nil"/>
              <w:bottom w:val="nil"/>
              <w:right w:val="single" w:sz="8" w:space="0" w:color="auto"/>
            </w:tcBorders>
            <w:shd w:val="clear" w:color="auto" w:fill="C0C0C0"/>
            <w:tcMar>
              <w:top w:w="0" w:type="dxa"/>
              <w:left w:w="108" w:type="dxa"/>
              <w:bottom w:w="0" w:type="dxa"/>
              <w:right w:w="108" w:type="dxa"/>
            </w:tcMar>
            <w:vAlign w:val="center"/>
            <w:hideMark/>
          </w:tcPr>
          <w:p w14:paraId="6276FD6C" w14:textId="7BE79F5E" w:rsidR="00C37920" w:rsidRPr="0088672C" w:rsidRDefault="00C37920">
            <w:pPr>
              <w:spacing w:before="20" w:after="20" w:line="252" w:lineRule="auto"/>
              <w:rPr>
                <w:rFonts w:ascii="Times New Roman" w:hAnsi="Times New Roman"/>
                <w:color w:val="FF0000"/>
              </w:rPr>
            </w:pPr>
          </w:p>
        </w:tc>
      </w:tr>
      <w:tr w:rsidR="00C37920" w:rsidRPr="0088672C" w14:paraId="11755C5C" w14:textId="77777777" w:rsidTr="002E7F0E">
        <w:tc>
          <w:tcPr>
            <w:tcW w:w="6226" w:type="dxa"/>
            <w:gridSpan w:val="3"/>
            <w:tcBorders>
              <w:left w:val="single" w:sz="8" w:space="0" w:color="auto"/>
              <w:right w:val="single" w:sz="8" w:space="0" w:color="auto"/>
            </w:tcBorders>
            <w:tcMar>
              <w:top w:w="0" w:type="dxa"/>
              <w:left w:w="108" w:type="dxa"/>
              <w:bottom w:w="0" w:type="dxa"/>
              <w:right w:w="108" w:type="dxa"/>
            </w:tcMar>
            <w:vAlign w:val="center"/>
            <w:hideMark/>
          </w:tcPr>
          <w:p w14:paraId="2AE18EB7" w14:textId="40BE7DF7" w:rsidR="00C37920" w:rsidRPr="0088672C" w:rsidRDefault="00C37920">
            <w:pPr>
              <w:spacing w:before="60" w:after="60" w:line="252" w:lineRule="auto"/>
              <w:rPr>
                <w:rFonts w:ascii="Times New Roman" w:hAnsi="Times New Roman"/>
                <w:color w:val="FF0000"/>
              </w:rPr>
            </w:pPr>
          </w:p>
        </w:tc>
        <w:tc>
          <w:tcPr>
            <w:tcW w:w="3599" w:type="dxa"/>
            <w:tcBorders>
              <w:left w:val="nil"/>
              <w:bottom w:val="single" w:sz="4" w:space="0" w:color="auto"/>
              <w:right w:val="single" w:sz="8" w:space="0" w:color="auto"/>
            </w:tcBorders>
            <w:tcMar>
              <w:top w:w="0" w:type="dxa"/>
              <w:left w:w="108" w:type="dxa"/>
              <w:bottom w:w="0" w:type="dxa"/>
              <w:right w:w="108" w:type="dxa"/>
            </w:tcMar>
            <w:vAlign w:val="center"/>
            <w:hideMark/>
          </w:tcPr>
          <w:p w14:paraId="2A2CBDAD" w14:textId="48A7A548" w:rsidR="00C37920" w:rsidRPr="0088672C" w:rsidRDefault="00C37920">
            <w:pPr>
              <w:spacing w:before="60" w:after="60" w:line="252" w:lineRule="auto"/>
              <w:rPr>
                <w:rFonts w:ascii="Times New Roman" w:hAnsi="Times New Roman"/>
                <w:lang w:val="nl-BE"/>
              </w:rPr>
            </w:pPr>
          </w:p>
        </w:tc>
      </w:tr>
      <w:tr w:rsidR="00C37920" w:rsidRPr="0088672C" w14:paraId="67AA2D14" w14:textId="77777777" w:rsidTr="002E7F0E">
        <w:tc>
          <w:tcPr>
            <w:tcW w:w="1615" w:type="dxa"/>
            <w:tcBorders>
              <w:top w:val="single" w:sz="4" w:space="0" w:color="auto"/>
              <w:left w:val="single" w:sz="8" w:space="0" w:color="auto"/>
              <w:bottom w:val="single" w:sz="4" w:space="0" w:color="auto"/>
              <w:right w:val="single" w:sz="8" w:space="0" w:color="auto"/>
            </w:tcBorders>
            <w:shd w:val="clear" w:color="auto" w:fill="C0C0C0"/>
            <w:tcMar>
              <w:top w:w="0" w:type="dxa"/>
              <w:left w:w="108" w:type="dxa"/>
              <w:bottom w:w="0" w:type="dxa"/>
              <w:right w:w="108" w:type="dxa"/>
            </w:tcMar>
            <w:vAlign w:val="bottom"/>
            <w:hideMark/>
          </w:tcPr>
          <w:p w14:paraId="5E64E5F9" w14:textId="77777777" w:rsidR="00C37920" w:rsidRPr="0088672C" w:rsidRDefault="00C37920">
            <w:pPr>
              <w:spacing w:before="20" w:after="20" w:line="252" w:lineRule="auto"/>
              <w:rPr>
                <w:rFonts w:ascii="Times New Roman" w:hAnsi="Times New Roman"/>
                <w:b/>
                <w:bCs/>
              </w:rPr>
            </w:pPr>
            <w:r w:rsidRPr="0088672C">
              <w:rPr>
                <w:rFonts w:ascii="Times New Roman" w:hAnsi="Times New Roman"/>
                <w:b/>
                <w:bCs/>
                <w:color w:val="000000"/>
              </w:rPr>
              <w:t>Doc. Number:</w:t>
            </w:r>
          </w:p>
        </w:tc>
        <w:tc>
          <w:tcPr>
            <w:tcW w:w="2339" w:type="dxa"/>
            <w:tcBorders>
              <w:top w:val="single" w:sz="4" w:space="0" w:color="auto"/>
              <w:left w:val="nil"/>
              <w:bottom w:val="single" w:sz="4" w:space="0" w:color="auto"/>
              <w:right w:val="single" w:sz="8" w:space="0" w:color="auto"/>
            </w:tcBorders>
            <w:shd w:val="clear" w:color="auto" w:fill="C0C0C0"/>
            <w:tcMar>
              <w:top w:w="0" w:type="dxa"/>
              <w:left w:w="108" w:type="dxa"/>
              <w:bottom w:w="0" w:type="dxa"/>
              <w:right w:w="108" w:type="dxa"/>
            </w:tcMar>
            <w:vAlign w:val="bottom"/>
            <w:hideMark/>
          </w:tcPr>
          <w:p w14:paraId="5FD77645" w14:textId="77777777" w:rsidR="00C37920" w:rsidRPr="0088672C" w:rsidRDefault="00C37920">
            <w:pPr>
              <w:spacing w:before="20" w:after="20" w:line="252" w:lineRule="auto"/>
              <w:rPr>
                <w:rFonts w:ascii="Times New Roman" w:hAnsi="Times New Roman"/>
                <w:b/>
                <w:bCs/>
              </w:rPr>
            </w:pPr>
            <w:r w:rsidRPr="0088672C">
              <w:rPr>
                <w:rFonts w:ascii="Times New Roman" w:hAnsi="Times New Roman"/>
                <w:b/>
                <w:bCs/>
                <w:color w:val="000000"/>
              </w:rPr>
              <w:t xml:space="preserve">Revised </w:t>
            </w:r>
            <w:r w:rsidRPr="0088672C">
              <w:rPr>
                <w:rFonts w:ascii="Times New Roman" w:hAnsi="Times New Roman"/>
                <w:b/>
                <w:bCs/>
              </w:rPr>
              <w:t>&amp; Approved</w:t>
            </w:r>
            <w:r w:rsidRPr="0088672C">
              <w:rPr>
                <w:rFonts w:ascii="Times New Roman" w:hAnsi="Times New Roman"/>
                <w:b/>
                <w:bCs/>
                <w:color w:val="000000"/>
              </w:rPr>
              <w:t>:</w:t>
            </w:r>
          </w:p>
        </w:tc>
        <w:tc>
          <w:tcPr>
            <w:tcW w:w="2272" w:type="dxa"/>
            <w:tcBorders>
              <w:top w:val="single" w:sz="4" w:space="0" w:color="auto"/>
              <w:left w:val="nil"/>
              <w:bottom w:val="single" w:sz="4" w:space="0" w:color="auto"/>
              <w:right w:val="single" w:sz="8" w:space="0" w:color="auto"/>
            </w:tcBorders>
            <w:shd w:val="clear" w:color="auto" w:fill="C0C0C0"/>
            <w:tcMar>
              <w:top w:w="0" w:type="dxa"/>
              <w:left w:w="108" w:type="dxa"/>
              <w:bottom w:w="0" w:type="dxa"/>
              <w:right w:w="108" w:type="dxa"/>
            </w:tcMar>
            <w:vAlign w:val="bottom"/>
            <w:hideMark/>
          </w:tcPr>
          <w:p w14:paraId="67E115B9" w14:textId="77777777" w:rsidR="00C37920" w:rsidRPr="0088672C" w:rsidRDefault="00C37920">
            <w:pPr>
              <w:spacing w:before="20" w:after="20" w:line="252" w:lineRule="auto"/>
              <w:rPr>
                <w:rFonts w:ascii="Times New Roman" w:hAnsi="Times New Roman"/>
                <w:b/>
                <w:bCs/>
              </w:rPr>
            </w:pPr>
            <w:r w:rsidRPr="0088672C">
              <w:rPr>
                <w:rFonts w:ascii="Times New Roman" w:hAnsi="Times New Roman"/>
                <w:b/>
                <w:bCs/>
                <w:color w:val="000000"/>
              </w:rPr>
              <w:t>Effective Date:</w:t>
            </w:r>
          </w:p>
        </w:tc>
        <w:tc>
          <w:tcPr>
            <w:tcW w:w="3599" w:type="dxa"/>
            <w:tcBorders>
              <w:top w:val="single" w:sz="4" w:space="0" w:color="auto"/>
              <w:left w:val="nil"/>
              <w:bottom w:val="single" w:sz="4" w:space="0" w:color="auto"/>
              <w:right w:val="single" w:sz="8" w:space="0" w:color="auto"/>
            </w:tcBorders>
            <w:shd w:val="clear" w:color="auto" w:fill="C0C0C0"/>
            <w:tcMar>
              <w:top w:w="0" w:type="dxa"/>
              <w:left w:w="108" w:type="dxa"/>
              <w:bottom w:w="0" w:type="dxa"/>
              <w:right w:w="108" w:type="dxa"/>
            </w:tcMar>
            <w:vAlign w:val="bottom"/>
            <w:hideMark/>
          </w:tcPr>
          <w:p w14:paraId="410B402F" w14:textId="77777777" w:rsidR="00C37920" w:rsidRPr="0088672C" w:rsidRDefault="00C37920">
            <w:pPr>
              <w:spacing w:before="20" w:after="20" w:line="252" w:lineRule="auto"/>
              <w:rPr>
                <w:rFonts w:ascii="Times New Roman" w:hAnsi="Times New Roman"/>
                <w:b/>
                <w:bCs/>
              </w:rPr>
            </w:pPr>
            <w:r w:rsidRPr="0088672C">
              <w:rPr>
                <w:rFonts w:ascii="Times New Roman" w:hAnsi="Times New Roman"/>
                <w:b/>
                <w:bCs/>
                <w:color w:val="000000"/>
              </w:rPr>
              <w:t>Responsible Staff:</w:t>
            </w:r>
          </w:p>
        </w:tc>
      </w:tr>
      <w:tr w:rsidR="00130432" w:rsidRPr="0088672C" w14:paraId="26327ECA" w14:textId="77777777" w:rsidTr="002E7F0E">
        <w:tc>
          <w:tcPr>
            <w:tcW w:w="1615" w:type="dxa"/>
            <w:tcBorders>
              <w:top w:val="single" w:sz="4" w:space="0" w:color="auto"/>
              <w:left w:val="single" w:sz="8" w:space="0" w:color="auto"/>
              <w:bottom w:val="nil"/>
              <w:right w:val="single" w:sz="8" w:space="0" w:color="auto"/>
            </w:tcBorders>
            <w:shd w:val="clear" w:color="auto" w:fill="auto"/>
            <w:tcMar>
              <w:top w:w="0" w:type="dxa"/>
              <w:left w:w="108" w:type="dxa"/>
              <w:bottom w:w="0" w:type="dxa"/>
              <w:right w:w="108" w:type="dxa"/>
            </w:tcMar>
            <w:vAlign w:val="bottom"/>
          </w:tcPr>
          <w:p w14:paraId="387BE286" w14:textId="20AD6B92" w:rsidR="00130432" w:rsidRPr="00AD1701" w:rsidRDefault="000C33AC">
            <w:pPr>
              <w:spacing w:before="20" w:after="20" w:line="252" w:lineRule="auto"/>
              <w:rPr>
                <w:rFonts w:asciiTheme="minorHAnsi" w:hAnsiTheme="minorHAnsi" w:cstheme="minorHAnsi"/>
                <w:color w:val="000000"/>
              </w:rPr>
            </w:pPr>
            <w:r w:rsidRPr="00AD1701">
              <w:rPr>
                <w:rFonts w:asciiTheme="minorHAnsi" w:hAnsiTheme="minorHAnsi" w:cstheme="minorHAnsi"/>
                <w:color w:val="000000"/>
              </w:rPr>
              <w:t>5</w:t>
            </w:r>
            <w:r w:rsidR="005C4443" w:rsidRPr="00AD1701">
              <w:rPr>
                <w:rFonts w:asciiTheme="minorHAnsi" w:hAnsiTheme="minorHAnsi" w:cstheme="minorHAnsi"/>
                <w:color w:val="000000"/>
              </w:rPr>
              <w:t>-</w:t>
            </w:r>
            <w:r w:rsidRPr="00AD1701">
              <w:rPr>
                <w:rFonts w:asciiTheme="minorHAnsi" w:hAnsiTheme="minorHAnsi" w:cstheme="minorHAnsi"/>
                <w:color w:val="000000"/>
              </w:rPr>
              <w:t>003</w:t>
            </w:r>
          </w:p>
        </w:tc>
        <w:tc>
          <w:tcPr>
            <w:tcW w:w="2339" w:type="dxa"/>
            <w:tcBorders>
              <w:top w:val="single" w:sz="4" w:space="0" w:color="auto"/>
              <w:left w:val="nil"/>
              <w:bottom w:val="nil"/>
              <w:right w:val="single" w:sz="8" w:space="0" w:color="auto"/>
            </w:tcBorders>
            <w:shd w:val="clear" w:color="auto" w:fill="auto"/>
            <w:tcMar>
              <w:top w:w="0" w:type="dxa"/>
              <w:left w:w="108" w:type="dxa"/>
              <w:bottom w:w="0" w:type="dxa"/>
              <w:right w:w="108" w:type="dxa"/>
            </w:tcMar>
            <w:vAlign w:val="bottom"/>
          </w:tcPr>
          <w:p w14:paraId="03AE02D4" w14:textId="77A52100" w:rsidR="00130432" w:rsidRPr="00AD1701" w:rsidRDefault="00FE647A">
            <w:pPr>
              <w:spacing w:before="20" w:after="20" w:line="252" w:lineRule="auto"/>
              <w:rPr>
                <w:rFonts w:cs="Calibri"/>
                <w:color w:val="000000"/>
              </w:rPr>
            </w:pPr>
            <w:r>
              <w:rPr>
                <w:rFonts w:cs="Calibri"/>
                <w:color w:val="000000"/>
              </w:rPr>
              <w:t xml:space="preserve">6/16, 3/18 &amp; </w:t>
            </w:r>
            <w:r w:rsidR="00781B26" w:rsidRPr="00AD1701">
              <w:rPr>
                <w:rFonts w:cs="Calibri"/>
                <w:color w:val="000000"/>
              </w:rPr>
              <w:t>1</w:t>
            </w:r>
            <w:r w:rsidR="00FD6761" w:rsidRPr="00AD1701">
              <w:rPr>
                <w:rFonts w:cs="Calibri"/>
                <w:color w:val="000000"/>
              </w:rPr>
              <w:t>/22</w:t>
            </w:r>
          </w:p>
        </w:tc>
        <w:tc>
          <w:tcPr>
            <w:tcW w:w="2272" w:type="dxa"/>
            <w:tcBorders>
              <w:top w:val="single" w:sz="4" w:space="0" w:color="auto"/>
              <w:left w:val="nil"/>
              <w:bottom w:val="nil"/>
              <w:right w:val="single" w:sz="8" w:space="0" w:color="auto"/>
            </w:tcBorders>
            <w:shd w:val="clear" w:color="auto" w:fill="auto"/>
            <w:tcMar>
              <w:top w:w="0" w:type="dxa"/>
              <w:left w:w="108" w:type="dxa"/>
              <w:bottom w:w="0" w:type="dxa"/>
              <w:right w:w="108" w:type="dxa"/>
            </w:tcMar>
            <w:vAlign w:val="bottom"/>
          </w:tcPr>
          <w:p w14:paraId="45AF31D1" w14:textId="5BFCC848" w:rsidR="00130432" w:rsidRPr="00AD1701" w:rsidRDefault="00FE647A">
            <w:pPr>
              <w:spacing w:before="20" w:after="20" w:line="252" w:lineRule="auto"/>
              <w:rPr>
                <w:rFonts w:asciiTheme="minorHAnsi" w:hAnsiTheme="minorHAnsi" w:cstheme="minorHAnsi"/>
                <w:color w:val="000000"/>
              </w:rPr>
            </w:pPr>
            <w:r>
              <w:rPr>
                <w:rFonts w:asciiTheme="minorHAnsi" w:hAnsiTheme="minorHAnsi" w:cstheme="minorHAnsi"/>
                <w:color w:val="000000"/>
              </w:rPr>
              <w:t>10/15/06</w:t>
            </w:r>
          </w:p>
        </w:tc>
        <w:tc>
          <w:tcPr>
            <w:tcW w:w="3599" w:type="dxa"/>
            <w:tcBorders>
              <w:top w:val="single" w:sz="4" w:space="0" w:color="auto"/>
              <w:left w:val="nil"/>
              <w:bottom w:val="nil"/>
              <w:right w:val="single" w:sz="8" w:space="0" w:color="auto"/>
            </w:tcBorders>
            <w:shd w:val="clear" w:color="auto" w:fill="auto"/>
            <w:tcMar>
              <w:top w:w="0" w:type="dxa"/>
              <w:left w:w="108" w:type="dxa"/>
              <w:bottom w:w="0" w:type="dxa"/>
              <w:right w:w="108" w:type="dxa"/>
            </w:tcMar>
            <w:vAlign w:val="bottom"/>
          </w:tcPr>
          <w:p w14:paraId="6D16FE9B" w14:textId="3E843548" w:rsidR="00130432" w:rsidRPr="00AD1701" w:rsidRDefault="00781B26">
            <w:pPr>
              <w:spacing w:before="20" w:after="20" w:line="252" w:lineRule="auto"/>
              <w:rPr>
                <w:rFonts w:cs="Calibri"/>
                <w:color w:val="000000"/>
              </w:rPr>
            </w:pPr>
            <w:r w:rsidRPr="00AD1701">
              <w:rPr>
                <w:rFonts w:cs="Calibri"/>
                <w:color w:val="000000"/>
              </w:rPr>
              <w:t>Customer Service</w:t>
            </w:r>
            <w:r w:rsidR="000C33AC" w:rsidRPr="00AD1701">
              <w:rPr>
                <w:rFonts w:cs="Calibri"/>
                <w:color w:val="000000"/>
              </w:rPr>
              <w:t xml:space="preserve"> Staff</w:t>
            </w:r>
            <w:r w:rsidR="00810127" w:rsidRPr="00AD1701">
              <w:rPr>
                <w:rFonts w:cs="Calibri"/>
                <w:color w:val="000000"/>
              </w:rPr>
              <w:t>/WBHN Staff</w:t>
            </w:r>
          </w:p>
        </w:tc>
      </w:tr>
      <w:tr w:rsidR="00C37920" w:rsidRPr="0088672C" w14:paraId="1D927671" w14:textId="77777777" w:rsidTr="002E7F0E">
        <w:tc>
          <w:tcPr>
            <w:tcW w:w="16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904896" w14:textId="5C700D42" w:rsidR="00C37920" w:rsidRPr="0088672C" w:rsidRDefault="00C37920">
            <w:pPr>
              <w:spacing w:before="60" w:after="60" w:line="252" w:lineRule="auto"/>
              <w:rPr>
                <w:rFonts w:ascii="Times New Roman" w:hAnsi="Times New Roman"/>
              </w:rPr>
            </w:pP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3D60AE" w14:textId="4FFF8D39" w:rsidR="00C37920" w:rsidRPr="0088672C" w:rsidRDefault="00C37920">
            <w:pPr>
              <w:spacing w:before="60" w:after="60" w:line="252" w:lineRule="auto"/>
              <w:rPr>
                <w:rFonts w:ascii="Times New Roman" w:hAnsi="Times New Roman"/>
              </w:rPr>
            </w:pPr>
          </w:p>
        </w:tc>
        <w:tc>
          <w:tcPr>
            <w:tcW w:w="2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B2EA46" w14:textId="71905209" w:rsidR="00C37920" w:rsidRPr="0088672C" w:rsidRDefault="00C37920">
            <w:pPr>
              <w:spacing w:before="60" w:after="60" w:line="252" w:lineRule="auto"/>
              <w:rPr>
                <w:rFonts w:ascii="Times New Roman" w:hAnsi="Times New Roman"/>
              </w:rPr>
            </w:pPr>
          </w:p>
        </w:tc>
        <w:tc>
          <w:tcPr>
            <w:tcW w:w="3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D24AF6" w14:textId="7CAA0392" w:rsidR="00C37920" w:rsidRPr="0088672C" w:rsidRDefault="00C37920">
            <w:pPr>
              <w:spacing w:before="60" w:after="60" w:line="252" w:lineRule="auto"/>
              <w:rPr>
                <w:rFonts w:ascii="Times New Roman" w:hAnsi="Times New Roman"/>
                <w:lang w:val="nl-BE"/>
              </w:rPr>
            </w:pPr>
          </w:p>
        </w:tc>
      </w:tr>
    </w:tbl>
    <w:p w14:paraId="288D602F" w14:textId="48A81A2E" w:rsidR="009312B6" w:rsidRDefault="009312B6" w:rsidP="00C37920">
      <w:pPr>
        <w:pStyle w:val="p6"/>
        <w:jc w:val="both"/>
        <w:rPr>
          <w:rFonts w:asciiTheme="minorHAnsi" w:hAnsiTheme="minorHAnsi" w:cstheme="minorHAnsi"/>
          <w:sz w:val="24"/>
        </w:rPr>
      </w:pPr>
    </w:p>
    <w:p w14:paraId="16604A09" w14:textId="14F8758A" w:rsidR="00024203" w:rsidRPr="00AD1701" w:rsidRDefault="008950FB" w:rsidP="00C37920">
      <w:pPr>
        <w:pStyle w:val="p6"/>
        <w:jc w:val="both"/>
        <w:rPr>
          <w:rFonts w:ascii="Calibri" w:hAnsi="Calibri" w:cs="Calibri"/>
          <w:sz w:val="24"/>
        </w:rPr>
      </w:pPr>
      <w:r w:rsidRPr="00AD1701">
        <w:rPr>
          <w:rFonts w:ascii="Calibri" w:hAnsi="Calibri" w:cs="Calibri"/>
          <w:b/>
          <w:sz w:val="24"/>
        </w:rPr>
        <w:t>PURPOSE</w:t>
      </w:r>
      <w:r w:rsidR="001446BB" w:rsidRPr="00AD1701">
        <w:rPr>
          <w:rFonts w:ascii="Calibri" w:hAnsi="Calibri" w:cs="Calibri"/>
          <w:b/>
          <w:sz w:val="24"/>
        </w:rPr>
        <w:t xml:space="preserve">: </w:t>
      </w:r>
      <w:r w:rsidRPr="00AD1701">
        <w:rPr>
          <w:rFonts w:ascii="Calibri" w:hAnsi="Calibri" w:cs="Calibri"/>
          <w:sz w:val="24"/>
        </w:rPr>
        <w:t>To provide guidelines regarding application of Michigan Law for Woodlands service recipients to make decisions concerning their medical care – including the right to accept or refuse medical treatment and to formulate “Advanced Directives.”</w:t>
      </w:r>
    </w:p>
    <w:p w14:paraId="66AC0B80" w14:textId="77777777" w:rsidR="00024203" w:rsidRPr="00AD1701" w:rsidRDefault="00024203" w:rsidP="00C37920">
      <w:pPr>
        <w:pStyle w:val="p6"/>
        <w:jc w:val="both"/>
        <w:rPr>
          <w:rFonts w:ascii="Calibri" w:hAnsi="Calibri" w:cs="Calibri"/>
          <w:sz w:val="24"/>
        </w:rPr>
      </w:pPr>
    </w:p>
    <w:p w14:paraId="304FB595" w14:textId="4A3AF87C" w:rsidR="008950FB" w:rsidRPr="00AD1701" w:rsidRDefault="00024203" w:rsidP="00C37920">
      <w:pPr>
        <w:pStyle w:val="p6"/>
        <w:jc w:val="both"/>
        <w:rPr>
          <w:rFonts w:ascii="Calibri" w:hAnsi="Calibri" w:cs="Calibri"/>
          <w:sz w:val="24"/>
        </w:rPr>
      </w:pPr>
      <w:r w:rsidRPr="00AD1701">
        <w:rPr>
          <w:rFonts w:ascii="Calibri" w:hAnsi="Calibri" w:cs="Calibri"/>
          <w:b/>
          <w:sz w:val="24"/>
        </w:rPr>
        <w:t>P</w:t>
      </w:r>
      <w:r w:rsidR="008950FB" w:rsidRPr="00AD1701">
        <w:rPr>
          <w:rFonts w:ascii="Calibri" w:hAnsi="Calibri" w:cs="Calibri"/>
          <w:b/>
          <w:sz w:val="24"/>
        </w:rPr>
        <w:t>OLICY</w:t>
      </w:r>
      <w:r w:rsidRPr="00AD1701">
        <w:rPr>
          <w:rFonts w:ascii="Calibri" w:hAnsi="Calibri" w:cs="Calibri"/>
          <w:b/>
          <w:sz w:val="24"/>
        </w:rPr>
        <w:t xml:space="preserve">: </w:t>
      </w:r>
      <w:r w:rsidR="008950FB" w:rsidRPr="00AD1701">
        <w:rPr>
          <w:rFonts w:ascii="Calibri" w:hAnsi="Calibri" w:cs="Calibri"/>
          <w:sz w:val="24"/>
        </w:rPr>
        <w:t>Woodlands Behavioral Healthcare Network shall honor valid Durable Powers of Attorney as presented for medical and psychiatric care. Woodlands shall honor decisions made by Identified Patient Advocates unless unable or otherwise not required by law. Woodlands shall honor decisions regarding the terminal care of a patient, made by a legally designated patient surrogate, if person is terminally ill, including requests for hospice care. Woodlands shall honor valid Do-Not-Resuscitate Orders when required to do so by Michigan law.</w:t>
      </w:r>
    </w:p>
    <w:p w14:paraId="5CAA8249" w14:textId="145518BE" w:rsidR="00024203" w:rsidRPr="00AD1701" w:rsidRDefault="00024203" w:rsidP="00C37920">
      <w:pPr>
        <w:pStyle w:val="p6"/>
        <w:jc w:val="both"/>
        <w:rPr>
          <w:rFonts w:ascii="Calibri" w:hAnsi="Calibri" w:cs="Calibri"/>
          <w:sz w:val="24"/>
        </w:rPr>
      </w:pPr>
    </w:p>
    <w:p w14:paraId="1FA2EBEB" w14:textId="0247953C" w:rsidR="00024203" w:rsidRPr="00AD1701" w:rsidRDefault="00024203" w:rsidP="00C37920">
      <w:pPr>
        <w:pStyle w:val="p6"/>
        <w:jc w:val="both"/>
        <w:rPr>
          <w:rFonts w:ascii="Calibri" w:hAnsi="Calibri" w:cs="Calibri"/>
          <w:sz w:val="24"/>
        </w:rPr>
      </w:pPr>
      <w:r w:rsidRPr="00AD1701">
        <w:rPr>
          <w:rFonts w:ascii="Calibri" w:hAnsi="Calibri" w:cs="Calibri"/>
          <w:b/>
          <w:sz w:val="24"/>
        </w:rPr>
        <w:t xml:space="preserve">Definitions: </w:t>
      </w:r>
    </w:p>
    <w:p w14:paraId="0F34C251" w14:textId="02DFDF1F" w:rsidR="00024203" w:rsidRPr="00AD1701" w:rsidRDefault="00024203" w:rsidP="00024203">
      <w:pPr>
        <w:pStyle w:val="p6"/>
        <w:numPr>
          <w:ilvl w:val="0"/>
          <w:numId w:val="3"/>
        </w:numPr>
        <w:jc w:val="both"/>
        <w:rPr>
          <w:rFonts w:ascii="Calibri" w:hAnsi="Calibri" w:cs="Calibri"/>
          <w:sz w:val="24"/>
        </w:rPr>
      </w:pPr>
      <w:r w:rsidRPr="00AD1701">
        <w:rPr>
          <w:rFonts w:ascii="Calibri" w:hAnsi="Calibri" w:cs="Calibri"/>
          <w:sz w:val="24"/>
          <w:u w:val="single"/>
        </w:rPr>
        <w:t>Advance Directive:</w:t>
      </w:r>
      <w:r w:rsidRPr="00AD1701">
        <w:rPr>
          <w:rFonts w:ascii="Calibri" w:hAnsi="Calibri" w:cs="Calibri"/>
          <w:sz w:val="24"/>
        </w:rPr>
        <w:t xml:space="preserve"> Written instruction such as a living will or durable power of attorney for health care, recognized under State Law (whether by statue or by the courts of the state) and relating to the provision of the health care when the individual is incapacitated.</w:t>
      </w:r>
    </w:p>
    <w:p w14:paraId="617F5B83" w14:textId="2B637E6C" w:rsidR="00924046" w:rsidRPr="00AD1701" w:rsidRDefault="00924046" w:rsidP="00024203">
      <w:pPr>
        <w:pStyle w:val="p6"/>
        <w:numPr>
          <w:ilvl w:val="0"/>
          <w:numId w:val="3"/>
        </w:numPr>
        <w:jc w:val="both"/>
        <w:rPr>
          <w:rFonts w:ascii="Calibri" w:hAnsi="Calibri" w:cs="Calibri"/>
          <w:sz w:val="24"/>
        </w:rPr>
      </w:pPr>
      <w:r w:rsidRPr="00AD1701">
        <w:rPr>
          <w:rFonts w:ascii="Calibri" w:hAnsi="Calibri" w:cs="Calibri"/>
          <w:sz w:val="24"/>
          <w:u w:val="single"/>
        </w:rPr>
        <w:t>Medial Advance Directive:</w:t>
      </w:r>
      <w:r w:rsidRPr="00AD1701">
        <w:rPr>
          <w:rFonts w:ascii="Calibri" w:hAnsi="Calibri" w:cs="Calibri"/>
          <w:sz w:val="24"/>
        </w:rPr>
        <w:t xml:space="preserve"> Written instructions regarding physical/medical health care. Examples of decisions made include hospit</w:t>
      </w:r>
      <w:r w:rsidR="00B31D55" w:rsidRPr="00AD1701">
        <w:rPr>
          <w:rFonts w:ascii="Calibri" w:hAnsi="Calibri" w:cs="Calibri"/>
          <w:sz w:val="24"/>
        </w:rPr>
        <w:t xml:space="preserve">al </w:t>
      </w:r>
      <w:r w:rsidRPr="00AD1701">
        <w:rPr>
          <w:rFonts w:ascii="Calibri" w:hAnsi="Calibri" w:cs="Calibri"/>
          <w:sz w:val="24"/>
        </w:rPr>
        <w:t>care, medication regimes, Do not Resuscitate Orders, or organ/tissue donation.</w:t>
      </w:r>
    </w:p>
    <w:p w14:paraId="628D7D43" w14:textId="38FB3F94" w:rsidR="00B31D55" w:rsidRPr="00AD1701" w:rsidRDefault="00924046" w:rsidP="00024203">
      <w:pPr>
        <w:pStyle w:val="p6"/>
        <w:numPr>
          <w:ilvl w:val="0"/>
          <w:numId w:val="3"/>
        </w:numPr>
        <w:jc w:val="both"/>
        <w:rPr>
          <w:rFonts w:ascii="Calibri" w:hAnsi="Calibri" w:cs="Calibri"/>
          <w:sz w:val="24"/>
        </w:rPr>
      </w:pPr>
      <w:r w:rsidRPr="00AD1701">
        <w:rPr>
          <w:rFonts w:ascii="Calibri" w:hAnsi="Calibri" w:cs="Calibri"/>
          <w:sz w:val="24"/>
          <w:u w:val="single"/>
        </w:rPr>
        <w:t>Psychiatric Advance Directive:</w:t>
      </w:r>
      <w:r w:rsidRPr="00AD1701">
        <w:rPr>
          <w:rFonts w:ascii="Calibri" w:hAnsi="Calibri" w:cs="Calibri"/>
          <w:sz w:val="24"/>
        </w:rPr>
        <w:t xml:space="preserve"> </w:t>
      </w:r>
      <w:r w:rsidR="00B31D55" w:rsidRPr="00AD1701">
        <w:rPr>
          <w:rFonts w:ascii="Calibri" w:hAnsi="Calibri" w:cs="Calibri"/>
          <w:sz w:val="24"/>
        </w:rPr>
        <w:t xml:space="preserve">Written instructions regarding care for psychiatric/mental health care decisions. Examples may include psychiatric hospitalization, MH treatment participation, medication </w:t>
      </w:r>
      <w:r w:rsidR="00994DED" w:rsidRPr="00AD1701">
        <w:rPr>
          <w:rFonts w:ascii="Calibri" w:hAnsi="Calibri" w:cs="Calibri"/>
          <w:sz w:val="24"/>
        </w:rPr>
        <w:t>regimes, or</w:t>
      </w:r>
      <w:r w:rsidR="00B31D55" w:rsidRPr="00AD1701">
        <w:rPr>
          <w:rFonts w:ascii="Calibri" w:hAnsi="Calibri" w:cs="Calibri"/>
          <w:sz w:val="24"/>
        </w:rPr>
        <w:t xml:space="preserve"> any specific psychiatric treatments such as ECT.</w:t>
      </w:r>
    </w:p>
    <w:p w14:paraId="5007D0AD" w14:textId="75C05F3F" w:rsidR="00B31D55" w:rsidRPr="00AD1701" w:rsidRDefault="00B31D55" w:rsidP="00024203">
      <w:pPr>
        <w:pStyle w:val="p6"/>
        <w:numPr>
          <w:ilvl w:val="0"/>
          <w:numId w:val="3"/>
        </w:numPr>
        <w:jc w:val="both"/>
        <w:rPr>
          <w:rFonts w:ascii="Calibri" w:hAnsi="Calibri" w:cs="Calibri"/>
          <w:sz w:val="24"/>
        </w:rPr>
      </w:pPr>
      <w:r w:rsidRPr="00AD1701">
        <w:rPr>
          <w:rFonts w:ascii="Calibri" w:hAnsi="Calibri" w:cs="Calibri"/>
          <w:sz w:val="24"/>
          <w:u w:val="single"/>
        </w:rPr>
        <w:t>Do-Not-</w:t>
      </w:r>
      <w:r w:rsidR="00994DED" w:rsidRPr="00AD1701">
        <w:rPr>
          <w:rFonts w:ascii="Calibri" w:hAnsi="Calibri" w:cs="Calibri"/>
          <w:sz w:val="24"/>
          <w:u w:val="single"/>
        </w:rPr>
        <w:t>Resuscitate</w:t>
      </w:r>
      <w:r w:rsidRPr="00AD1701">
        <w:rPr>
          <w:rFonts w:ascii="Calibri" w:hAnsi="Calibri" w:cs="Calibri"/>
          <w:sz w:val="24"/>
          <w:u w:val="single"/>
        </w:rPr>
        <w:t xml:space="preserve"> Order:</w:t>
      </w:r>
      <w:r w:rsidRPr="00AD1701">
        <w:rPr>
          <w:rFonts w:ascii="Calibri" w:hAnsi="Calibri" w:cs="Calibri"/>
          <w:sz w:val="24"/>
        </w:rPr>
        <w:t xml:space="preserve"> In the State of Michigan, established through MCLA 333.1051 et seq, individuals are able to execute a document directing that in the event that the individual’s heart and breathing should stop, no person shall attempt to resuscitate that individual.</w:t>
      </w:r>
    </w:p>
    <w:p w14:paraId="2147F432" w14:textId="6FEC1044" w:rsidR="00B31D55" w:rsidRPr="00AD1701" w:rsidRDefault="00B31D55" w:rsidP="00024203">
      <w:pPr>
        <w:pStyle w:val="p6"/>
        <w:numPr>
          <w:ilvl w:val="0"/>
          <w:numId w:val="3"/>
        </w:numPr>
        <w:jc w:val="both"/>
        <w:rPr>
          <w:rFonts w:ascii="Calibri" w:hAnsi="Calibri" w:cs="Calibri"/>
          <w:sz w:val="24"/>
        </w:rPr>
      </w:pPr>
      <w:r w:rsidRPr="00AD1701">
        <w:rPr>
          <w:rFonts w:ascii="Calibri" w:hAnsi="Calibri" w:cs="Calibri"/>
          <w:sz w:val="24"/>
          <w:u w:val="single"/>
        </w:rPr>
        <w:t xml:space="preserve">Durable Power of </w:t>
      </w:r>
      <w:r w:rsidR="00994DED" w:rsidRPr="00AD1701">
        <w:rPr>
          <w:rFonts w:ascii="Calibri" w:hAnsi="Calibri" w:cs="Calibri"/>
          <w:sz w:val="24"/>
          <w:u w:val="single"/>
        </w:rPr>
        <w:t>Attorney</w:t>
      </w:r>
      <w:r w:rsidR="00814924" w:rsidRPr="00AD1701">
        <w:rPr>
          <w:rFonts w:ascii="Calibri" w:hAnsi="Calibri" w:cs="Calibri"/>
          <w:sz w:val="24"/>
          <w:u w:val="single"/>
        </w:rPr>
        <w:t>:</w:t>
      </w:r>
      <w:r w:rsidRPr="00AD1701">
        <w:rPr>
          <w:rFonts w:ascii="Calibri" w:hAnsi="Calibri" w:cs="Calibri"/>
          <w:sz w:val="24"/>
        </w:rPr>
        <w:t xml:space="preserve"> In regards to Healthcare Decisions, (DPOA)  In the State of Michigan, established through MCLA 700.5506 et seq. the state of Michigan allows an adult 18 years of age or older to of sound mind to designate a Patient Advocate who is able to make decisions concerning the care, custody and medical treatment if that individual is unable to participate in his/her medical and/or mental health treatment decisions.</w:t>
      </w:r>
    </w:p>
    <w:p w14:paraId="75333DE0" w14:textId="737BBC3C" w:rsidR="0021394C" w:rsidRPr="00AD1701" w:rsidRDefault="00B31D55" w:rsidP="00024203">
      <w:pPr>
        <w:pStyle w:val="p6"/>
        <w:numPr>
          <w:ilvl w:val="0"/>
          <w:numId w:val="3"/>
        </w:numPr>
        <w:jc w:val="both"/>
        <w:rPr>
          <w:rFonts w:ascii="Calibri" w:hAnsi="Calibri" w:cs="Calibri"/>
          <w:sz w:val="24"/>
        </w:rPr>
      </w:pPr>
      <w:r w:rsidRPr="00AD1701">
        <w:rPr>
          <w:rFonts w:ascii="Calibri" w:hAnsi="Calibri" w:cs="Calibri"/>
          <w:sz w:val="24"/>
          <w:u w:val="single"/>
        </w:rPr>
        <w:t>Plan for Difficult Times (Crisis Planning):</w:t>
      </w:r>
      <w:r w:rsidRPr="00AD1701">
        <w:rPr>
          <w:rFonts w:ascii="Calibri" w:hAnsi="Calibri" w:cs="Calibri"/>
          <w:sz w:val="24"/>
        </w:rPr>
        <w:t xml:space="preserve"> A plan established by a customer of Specialty </w:t>
      </w:r>
      <w:r w:rsidRPr="00AD1701">
        <w:rPr>
          <w:rFonts w:ascii="Calibri" w:hAnsi="Calibri" w:cs="Calibri"/>
          <w:sz w:val="24"/>
        </w:rPr>
        <w:lastRenderedPageBreak/>
        <w:t>Mental Health Services within the context of their Person-Centered</w:t>
      </w:r>
      <w:r w:rsidR="0021394C" w:rsidRPr="00AD1701">
        <w:rPr>
          <w:rFonts w:ascii="Calibri" w:hAnsi="Calibri" w:cs="Calibri"/>
          <w:sz w:val="24"/>
        </w:rPr>
        <w:t xml:space="preserve"> Plans (PCP). Education about this option is required by the Michigan Department of Health and Human Services (MDHHS). The plan is intended to direct care when a customer begins to experience increased difficulty in managing his/her life or becomes genuinely incapacitated and an appointed agent acts on his/her behalf.</w:t>
      </w:r>
    </w:p>
    <w:p w14:paraId="6CF14580" w14:textId="77777777" w:rsidR="0021394C" w:rsidRPr="00AD1701" w:rsidRDefault="0021394C" w:rsidP="0021394C">
      <w:pPr>
        <w:pStyle w:val="p6"/>
        <w:ind w:left="720"/>
        <w:jc w:val="both"/>
        <w:rPr>
          <w:rFonts w:ascii="Calibri" w:hAnsi="Calibri" w:cs="Calibri"/>
          <w:sz w:val="24"/>
        </w:rPr>
      </w:pPr>
    </w:p>
    <w:p w14:paraId="3A8A1855" w14:textId="7F043B81" w:rsidR="00924046" w:rsidRPr="00AD1701" w:rsidRDefault="0021394C" w:rsidP="0021394C">
      <w:pPr>
        <w:pStyle w:val="p6"/>
        <w:jc w:val="both"/>
        <w:rPr>
          <w:rFonts w:ascii="Calibri" w:hAnsi="Calibri" w:cs="Calibri"/>
          <w:sz w:val="24"/>
        </w:rPr>
      </w:pPr>
      <w:r w:rsidRPr="00AD1701">
        <w:rPr>
          <w:rFonts w:ascii="Calibri" w:hAnsi="Calibri" w:cs="Calibri"/>
          <w:b/>
          <w:sz w:val="24"/>
        </w:rPr>
        <w:t>Standards and Guidelines:</w:t>
      </w:r>
      <w:r w:rsidR="00924046" w:rsidRPr="00AD1701">
        <w:rPr>
          <w:rFonts w:ascii="Calibri" w:hAnsi="Calibri" w:cs="Calibri"/>
          <w:sz w:val="24"/>
        </w:rPr>
        <w:t xml:space="preserve"> </w:t>
      </w:r>
    </w:p>
    <w:p w14:paraId="606BB561" w14:textId="6DECD6FD" w:rsidR="0021394C" w:rsidRPr="00AD1701" w:rsidRDefault="0021394C" w:rsidP="0021394C">
      <w:pPr>
        <w:pStyle w:val="p6"/>
        <w:numPr>
          <w:ilvl w:val="0"/>
          <w:numId w:val="4"/>
        </w:numPr>
        <w:jc w:val="both"/>
        <w:rPr>
          <w:rFonts w:ascii="Calibri" w:hAnsi="Calibri" w:cs="Calibri"/>
          <w:sz w:val="24"/>
          <w:u w:val="single"/>
        </w:rPr>
      </w:pPr>
      <w:r w:rsidRPr="00AD1701">
        <w:rPr>
          <w:rFonts w:ascii="Calibri" w:hAnsi="Calibri" w:cs="Calibri"/>
          <w:sz w:val="24"/>
          <w:u w:val="single"/>
        </w:rPr>
        <w:t>In accordance with Medicaid Managed Care Regulations (42 CFR 422.128 and 42 CFR 438.6</w:t>
      </w:r>
      <w:r w:rsidR="00994DED" w:rsidRPr="00AD1701">
        <w:rPr>
          <w:rFonts w:ascii="Calibri" w:hAnsi="Calibri" w:cs="Calibri"/>
          <w:sz w:val="24"/>
          <w:u w:val="single"/>
        </w:rPr>
        <w:t>), Woodlands</w:t>
      </w:r>
      <w:r w:rsidRPr="00AD1701">
        <w:rPr>
          <w:rFonts w:ascii="Calibri" w:hAnsi="Calibri" w:cs="Calibri"/>
          <w:sz w:val="24"/>
          <w:u w:val="single"/>
        </w:rPr>
        <w:t xml:space="preserve"> will maintain written policies and procedures for advance directives.</w:t>
      </w:r>
    </w:p>
    <w:p w14:paraId="509329A5" w14:textId="2F512E2D" w:rsidR="0021394C" w:rsidRPr="00AD1701" w:rsidRDefault="0021394C" w:rsidP="0021394C">
      <w:pPr>
        <w:pStyle w:val="p6"/>
        <w:numPr>
          <w:ilvl w:val="0"/>
          <w:numId w:val="5"/>
        </w:numPr>
        <w:jc w:val="both"/>
        <w:rPr>
          <w:rFonts w:ascii="Calibri" w:hAnsi="Calibri" w:cs="Calibri"/>
          <w:sz w:val="24"/>
        </w:rPr>
      </w:pPr>
      <w:r w:rsidRPr="00AD1701">
        <w:rPr>
          <w:rFonts w:ascii="Calibri" w:hAnsi="Calibri" w:cs="Calibri"/>
          <w:sz w:val="24"/>
        </w:rPr>
        <w:t>Woodlands shall provide adult beneficiaries with written information on advance directive policies and a description of applicable state law and their rights under applicable laws.</w:t>
      </w:r>
    </w:p>
    <w:p w14:paraId="58652E6A" w14:textId="19E441F6" w:rsidR="0021394C" w:rsidRPr="00AD1701" w:rsidRDefault="0021394C" w:rsidP="0021394C">
      <w:pPr>
        <w:pStyle w:val="p6"/>
        <w:numPr>
          <w:ilvl w:val="0"/>
          <w:numId w:val="5"/>
        </w:numPr>
        <w:jc w:val="both"/>
        <w:rPr>
          <w:rFonts w:ascii="Calibri" w:hAnsi="Calibri" w:cs="Calibri"/>
          <w:sz w:val="24"/>
        </w:rPr>
      </w:pPr>
      <w:r w:rsidRPr="00AD1701">
        <w:rPr>
          <w:rFonts w:ascii="Calibri" w:hAnsi="Calibri" w:cs="Calibri"/>
          <w:sz w:val="24"/>
        </w:rPr>
        <w:t>The information must be continuously updated to reflect any changes in state law as soon as possible but no later than 90 days after in becomes effective.</w:t>
      </w:r>
    </w:p>
    <w:p w14:paraId="64C34392" w14:textId="7D85C69E" w:rsidR="0021394C" w:rsidRPr="00AD1701" w:rsidRDefault="0021394C" w:rsidP="0021394C">
      <w:pPr>
        <w:pStyle w:val="p6"/>
        <w:numPr>
          <w:ilvl w:val="0"/>
          <w:numId w:val="5"/>
        </w:numPr>
        <w:jc w:val="both"/>
        <w:rPr>
          <w:rFonts w:ascii="Calibri" w:hAnsi="Calibri" w:cs="Calibri"/>
          <w:sz w:val="24"/>
        </w:rPr>
      </w:pPr>
      <w:r w:rsidRPr="00AD1701">
        <w:rPr>
          <w:rFonts w:ascii="Calibri" w:hAnsi="Calibri" w:cs="Calibri"/>
          <w:sz w:val="24"/>
        </w:rPr>
        <w:t>Woodlands shall inform individuals that grievances concerning noncompliance with the advance directive requirements may be filed with Customer Services.</w:t>
      </w:r>
    </w:p>
    <w:p w14:paraId="10219828" w14:textId="74DE0620" w:rsidR="0021394C" w:rsidRPr="00AD1701" w:rsidRDefault="0021394C" w:rsidP="0021394C">
      <w:pPr>
        <w:pStyle w:val="p6"/>
        <w:numPr>
          <w:ilvl w:val="0"/>
          <w:numId w:val="5"/>
        </w:numPr>
        <w:jc w:val="both"/>
        <w:rPr>
          <w:rFonts w:ascii="Calibri" w:hAnsi="Calibri" w:cs="Calibri"/>
          <w:sz w:val="24"/>
        </w:rPr>
      </w:pPr>
      <w:r w:rsidRPr="00AD1701">
        <w:rPr>
          <w:rFonts w:ascii="Calibri" w:hAnsi="Calibri" w:cs="Calibri"/>
          <w:sz w:val="24"/>
        </w:rPr>
        <w:t>Woodlands will educate staff concerning policies and procedures on advance directives.</w:t>
      </w:r>
    </w:p>
    <w:p w14:paraId="049DE467" w14:textId="18301176" w:rsidR="0021394C" w:rsidRPr="00AD1701" w:rsidRDefault="00013809" w:rsidP="0021394C">
      <w:pPr>
        <w:pStyle w:val="p6"/>
        <w:numPr>
          <w:ilvl w:val="0"/>
          <w:numId w:val="4"/>
        </w:numPr>
        <w:jc w:val="both"/>
        <w:rPr>
          <w:rFonts w:ascii="Calibri" w:hAnsi="Calibri" w:cs="Calibri"/>
          <w:sz w:val="24"/>
          <w:u w:val="single"/>
        </w:rPr>
      </w:pPr>
      <w:r w:rsidRPr="00AD1701">
        <w:rPr>
          <w:rFonts w:ascii="Calibri" w:hAnsi="Calibri" w:cs="Calibri"/>
          <w:sz w:val="24"/>
          <w:u w:val="single"/>
        </w:rPr>
        <w:t>Woodlands will perform the following for the entire network of services provided:</w:t>
      </w:r>
    </w:p>
    <w:p w14:paraId="071AA3E1" w14:textId="3D734ED1" w:rsidR="00013809" w:rsidRPr="00AD1701" w:rsidRDefault="00013809" w:rsidP="00013809">
      <w:pPr>
        <w:pStyle w:val="p6"/>
        <w:numPr>
          <w:ilvl w:val="0"/>
          <w:numId w:val="6"/>
        </w:numPr>
        <w:jc w:val="both"/>
        <w:rPr>
          <w:rFonts w:ascii="Calibri" w:hAnsi="Calibri" w:cs="Calibri"/>
          <w:sz w:val="24"/>
        </w:rPr>
      </w:pPr>
      <w:r w:rsidRPr="00AD1701">
        <w:rPr>
          <w:rFonts w:ascii="Calibri" w:hAnsi="Calibri" w:cs="Calibri"/>
          <w:sz w:val="24"/>
        </w:rPr>
        <w:t xml:space="preserve">Evaluation of Michigan laws to develop </w:t>
      </w:r>
      <w:r w:rsidR="008950FB" w:rsidRPr="00AD1701">
        <w:rPr>
          <w:rFonts w:ascii="Calibri" w:hAnsi="Calibri" w:cs="Calibri"/>
          <w:sz w:val="24"/>
        </w:rPr>
        <w:t>Woodland’s</w:t>
      </w:r>
      <w:r w:rsidRPr="00AD1701">
        <w:rPr>
          <w:rFonts w:ascii="Calibri" w:hAnsi="Calibri" w:cs="Calibri"/>
          <w:sz w:val="24"/>
        </w:rPr>
        <w:t xml:space="preserve"> policies.</w:t>
      </w:r>
    </w:p>
    <w:p w14:paraId="47A1E748" w14:textId="4CF77AB9" w:rsidR="00013809" w:rsidRPr="00AD1701" w:rsidRDefault="00013809" w:rsidP="00013809">
      <w:pPr>
        <w:pStyle w:val="p6"/>
        <w:numPr>
          <w:ilvl w:val="0"/>
          <w:numId w:val="6"/>
        </w:numPr>
        <w:jc w:val="both"/>
        <w:rPr>
          <w:rFonts w:ascii="Calibri" w:hAnsi="Calibri" w:cs="Calibri"/>
          <w:sz w:val="24"/>
        </w:rPr>
      </w:pPr>
      <w:r w:rsidRPr="00AD1701">
        <w:rPr>
          <w:rFonts w:ascii="Calibri" w:hAnsi="Calibri" w:cs="Calibri"/>
          <w:sz w:val="24"/>
        </w:rPr>
        <w:t>Development of educational materials to customers.</w:t>
      </w:r>
    </w:p>
    <w:p w14:paraId="4D2BECD7" w14:textId="2287482E" w:rsidR="00013809" w:rsidRPr="00AD1701" w:rsidRDefault="00013809" w:rsidP="00013809">
      <w:pPr>
        <w:pStyle w:val="p6"/>
        <w:numPr>
          <w:ilvl w:val="0"/>
          <w:numId w:val="6"/>
        </w:numPr>
        <w:jc w:val="both"/>
        <w:rPr>
          <w:rFonts w:ascii="Calibri" w:hAnsi="Calibri" w:cs="Calibri"/>
          <w:sz w:val="24"/>
        </w:rPr>
      </w:pPr>
      <w:r w:rsidRPr="00AD1701">
        <w:rPr>
          <w:rFonts w:ascii="Calibri" w:hAnsi="Calibri" w:cs="Calibri"/>
          <w:sz w:val="24"/>
        </w:rPr>
        <w:t>Develop and distribute training and educational materials to staff of the agency.</w:t>
      </w:r>
    </w:p>
    <w:p w14:paraId="496086DC" w14:textId="147ACD6F" w:rsidR="00013809" w:rsidRPr="00AD1701" w:rsidRDefault="00013809" w:rsidP="00013809">
      <w:pPr>
        <w:pStyle w:val="p6"/>
        <w:numPr>
          <w:ilvl w:val="0"/>
          <w:numId w:val="4"/>
        </w:numPr>
        <w:jc w:val="both"/>
        <w:rPr>
          <w:rFonts w:ascii="Calibri" w:hAnsi="Calibri" w:cs="Calibri"/>
          <w:sz w:val="24"/>
          <w:u w:val="single"/>
        </w:rPr>
      </w:pPr>
      <w:r w:rsidRPr="00AD1701">
        <w:rPr>
          <w:rFonts w:ascii="Calibri" w:hAnsi="Calibri" w:cs="Calibri"/>
          <w:sz w:val="24"/>
          <w:u w:val="single"/>
        </w:rPr>
        <w:t>Specific Procedures utilized throughout Woodlands will be developed for implementation and will identify tasks/steps such as:</w:t>
      </w:r>
    </w:p>
    <w:p w14:paraId="4627C955" w14:textId="679E59B3" w:rsidR="00013809" w:rsidRPr="00AD1701" w:rsidRDefault="00013809" w:rsidP="00013809">
      <w:pPr>
        <w:pStyle w:val="p6"/>
        <w:numPr>
          <w:ilvl w:val="0"/>
          <w:numId w:val="7"/>
        </w:numPr>
        <w:jc w:val="both"/>
        <w:rPr>
          <w:rFonts w:ascii="Calibri" w:hAnsi="Calibri" w:cs="Calibri"/>
          <w:sz w:val="24"/>
        </w:rPr>
      </w:pPr>
      <w:r w:rsidRPr="00AD1701">
        <w:rPr>
          <w:rFonts w:ascii="Calibri" w:hAnsi="Calibri" w:cs="Calibri"/>
          <w:sz w:val="24"/>
        </w:rPr>
        <w:t xml:space="preserve">Asking customers and potential customers about their Advance Directive </w:t>
      </w:r>
      <w:r w:rsidR="00814924" w:rsidRPr="00AD1701">
        <w:rPr>
          <w:rFonts w:ascii="Calibri" w:hAnsi="Calibri" w:cs="Calibri"/>
          <w:sz w:val="24"/>
        </w:rPr>
        <w:t>s</w:t>
      </w:r>
      <w:r w:rsidRPr="00AD1701">
        <w:rPr>
          <w:rFonts w:ascii="Calibri" w:hAnsi="Calibri" w:cs="Calibri"/>
          <w:sz w:val="24"/>
        </w:rPr>
        <w:t>tatus</w:t>
      </w:r>
      <w:r w:rsidR="00814924" w:rsidRPr="00AD1701">
        <w:rPr>
          <w:rFonts w:ascii="Calibri" w:hAnsi="Calibri" w:cs="Calibri"/>
          <w:sz w:val="24"/>
        </w:rPr>
        <w:t xml:space="preserve"> at the time of enrollment in services and annually thereafter</w:t>
      </w:r>
      <w:r w:rsidRPr="00AD1701">
        <w:rPr>
          <w:rFonts w:ascii="Calibri" w:hAnsi="Calibri" w:cs="Calibri"/>
          <w:sz w:val="24"/>
        </w:rPr>
        <w:t>.</w:t>
      </w:r>
    </w:p>
    <w:p w14:paraId="4638A1FA" w14:textId="1409DAA4" w:rsidR="00013809" w:rsidRPr="00AD1701" w:rsidRDefault="00013809" w:rsidP="00013809">
      <w:pPr>
        <w:pStyle w:val="p6"/>
        <w:numPr>
          <w:ilvl w:val="0"/>
          <w:numId w:val="7"/>
        </w:numPr>
        <w:jc w:val="both"/>
        <w:rPr>
          <w:rFonts w:ascii="Calibri" w:hAnsi="Calibri" w:cs="Calibri"/>
          <w:sz w:val="24"/>
        </w:rPr>
      </w:pPr>
      <w:r w:rsidRPr="00AD1701">
        <w:rPr>
          <w:rFonts w:ascii="Calibri" w:hAnsi="Calibri" w:cs="Calibri"/>
          <w:sz w:val="24"/>
        </w:rPr>
        <w:t>Providing Advance Directive information and forms to complete.</w:t>
      </w:r>
    </w:p>
    <w:p w14:paraId="5915869D" w14:textId="599CEDCE" w:rsidR="00013809" w:rsidRPr="00AD1701" w:rsidRDefault="00013809" w:rsidP="00013809">
      <w:pPr>
        <w:pStyle w:val="p6"/>
        <w:numPr>
          <w:ilvl w:val="0"/>
          <w:numId w:val="7"/>
        </w:numPr>
        <w:jc w:val="both"/>
        <w:rPr>
          <w:rFonts w:ascii="Calibri" w:hAnsi="Calibri" w:cs="Calibri"/>
          <w:sz w:val="24"/>
        </w:rPr>
      </w:pPr>
      <w:r w:rsidRPr="00AD1701">
        <w:rPr>
          <w:rFonts w:ascii="Calibri" w:hAnsi="Calibri" w:cs="Calibri"/>
          <w:sz w:val="24"/>
        </w:rPr>
        <w:t>Offering assistance to complete Advance Directive documents.</w:t>
      </w:r>
    </w:p>
    <w:p w14:paraId="745BCD54" w14:textId="4E215449" w:rsidR="00013809" w:rsidRPr="00AD1701" w:rsidRDefault="00013809" w:rsidP="00013809">
      <w:pPr>
        <w:pStyle w:val="p6"/>
        <w:numPr>
          <w:ilvl w:val="0"/>
          <w:numId w:val="7"/>
        </w:numPr>
        <w:jc w:val="both"/>
        <w:rPr>
          <w:rFonts w:ascii="Calibri" w:hAnsi="Calibri" w:cs="Calibri"/>
          <w:sz w:val="24"/>
        </w:rPr>
      </w:pPr>
      <w:r w:rsidRPr="00AD1701">
        <w:rPr>
          <w:rFonts w:ascii="Calibri" w:hAnsi="Calibri" w:cs="Calibri"/>
          <w:sz w:val="24"/>
        </w:rPr>
        <w:t>Documenting Advance Directive designations in customer record.</w:t>
      </w:r>
    </w:p>
    <w:p w14:paraId="6FAB6176" w14:textId="7E7628F9" w:rsidR="00013809" w:rsidRPr="00AD1701" w:rsidRDefault="00013809" w:rsidP="00013809">
      <w:pPr>
        <w:pStyle w:val="p6"/>
        <w:numPr>
          <w:ilvl w:val="0"/>
          <w:numId w:val="8"/>
        </w:numPr>
        <w:jc w:val="both"/>
        <w:rPr>
          <w:rFonts w:ascii="Calibri" w:hAnsi="Calibri" w:cs="Calibri"/>
          <w:sz w:val="24"/>
        </w:rPr>
      </w:pPr>
      <w:r w:rsidRPr="00AD1701">
        <w:rPr>
          <w:rFonts w:ascii="Calibri" w:hAnsi="Calibri" w:cs="Calibri"/>
          <w:sz w:val="24"/>
        </w:rPr>
        <w:t>Document in prominent part of customer’s record if they have executed an advance directive.</w:t>
      </w:r>
    </w:p>
    <w:p w14:paraId="160ED331" w14:textId="7008A78D" w:rsidR="00013809" w:rsidRPr="00AD1701" w:rsidRDefault="00013809" w:rsidP="00013809">
      <w:pPr>
        <w:pStyle w:val="p6"/>
        <w:numPr>
          <w:ilvl w:val="0"/>
          <w:numId w:val="7"/>
        </w:numPr>
        <w:jc w:val="both"/>
        <w:rPr>
          <w:rFonts w:ascii="Calibri" w:hAnsi="Calibri" w:cs="Calibri"/>
          <w:sz w:val="24"/>
        </w:rPr>
      </w:pPr>
      <w:r w:rsidRPr="00AD1701">
        <w:rPr>
          <w:rFonts w:ascii="Calibri" w:hAnsi="Calibri" w:cs="Calibri"/>
          <w:sz w:val="24"/>
        </w:rPr>
        <w:t>Honoring Advance Directive decisions as required.</w:t>
      </w:r>
    </w:p>
    <w:p w14:paraId="1710B2CD" w14:textId="66F86157" w:rsidR="00013809" w:rsidRPr="00AD1701" w:rsidRDefault="00013809" w:rsidP="00013809">
      <w:pPr>
        <w:pStyle w:val="p6"/>
        <w:numPr>
          <w:ilvl w:val="0"/>
          <w:numId w:val="4"/>
        </w:numPr>
        <w:jc w:val="both"/>
        <w:rPr>
          <w:rFonts w:ascii="Calibri" w:hAnsi="Calibri" w:cs="Calibri"/>
          <w:sz w:val="24"/>
          <w:u w:val="single"/>
        </w:rPr>
      </w:pPr>
      <w:r w:rsidRPr="00AD1701">
        <w:rPr>
          <w:rFonts w:ascii="Calibri" w:hAnsi="Calibri" w:cs="Calibri"/>
          <w:sz w:val="24"/>
          <w:u w:val="single"/>
        </w:rPr>
        <w:t>Woodlands is not required to provide care that conflicts with an advance directive.</w:t>
      </w:r>
    </w:p>
    <w:p w14:paraId="61BB2BAF" w14:textId="2CFACF55" w:rsidR="00013809" w:rsidRPr="00AD1701" w:rsidRDefault="00013809" w:rsidP="00013809">
      <w:pPr>
        <w:pStyle w:val="p6"/>
        <w:numPr>
          <w:ilvl w:val="0"/>
          <w:numId w:val="4"/>
        </w:numPr>
        <w:jc w:val="both"/>
        <w:rPr>
          <w:rFonts w:ascii="Calibri" w:hAnsi="Calibri" w:cs="Calibri"/>
          <w:sz w:val="24"/>
          <w:u w:val="single"/>
        </w:rPr>
      </w:pPr>
      <w:r w:rsidRPr="00AD1701">
        <w:rPr>
          <w:rFonts w:ascii="Calibri" w:hAnsi="Calibri" w:cs="Calibri"/>
          <w:sz w:val="24"/>
          <w:u w:val="single"/>
        </w:rPr>
        <w:t xml:space="preserve">Woodlands </w:t>
      </w:r>
      <w:r w:rsidR="00D97A8F" w:rsidRPr="00AD1701">
        <w:rPr>
          <w:rFonts w:ascii="Calibri" w:hAnsi="Calibri" w:cs="Calibri"/>
          <w:sz w:val="24"/>
          <w:u w:val="single"/>
        </w:rPr>
        <w:t>is not bound to follow expressed desires of any directive(s) if any of the following apply:</w:t>
      </w:r>
    </w:p>
    <w:p w14:paraId="2CF0CD17" w14:textId="5D3F99FB" w:rsidR="00D97A8F" w:rsidRPr="00AD1701" w:rsidRDefault="00D97A8F" w:rsidP="00D97A8F">
      <w:pPr>
        <w:pStyle w:val="p6"/>
        <w:numPr>
          <w:ilvl w:val="0"/>
          <w:numId w:val="9"/>
        </w:numPr>
        <w:jc w:val="both"/>
        <w:rPr>
          <w:rFonts w:ascii="Calibri" w:hAnsi="Calibri" w:cs="Calibri"/>
          <w:sz w:val="24"/>
        </w:rPr>
      </w:pPr>
      <w:r w:rsidRPr="00AD1701">
        <w:rPr>
          <w:rFonts w:ascii="Calibri" w:hAnsi="Calibri" w:cs="Calibri"/>
          <w:sz w:val="24"/>
        </w:rPr>
        <w:t>In the mental health professional’s opinion, compliance is not consistent with generally accepted community practice standards of treatment.</w:t>
      </w:r>
    </w:p>
    <w:p w14:paraId="6C031769" w14:textId="1EC15232" w:rsidR="00D97A8F" w:rsidRPr="00AD1701" w:rsidRDefault="00D97A8F" w:rsidP="00D97A8F">
      <w:pPr>
        <w:pStyle w:val="p6"/>
        <w:numPr>
          <w:ilvl w:val="0"/>
          <w:numId w:val="9"/>
        </w:numPr>
        <w:jc w:val="both"/>
        <w:rPr>
          <w:rFonts w:ascii="Calibri" w:hAnsi="Calibri" w:cs="Calibri"/>
          <w:sz w:val="24"/>
        </w:rPr>
      </w:pPr>
      <w:r w:rsidRPr="00AD1701">
        <w:rPr>
          <w:rFonts w:ascii="Calibri" w:hAnsi="Calibri" w:cs="Calibri"/>
          <w:sz w:val="24"/>
        </w:rPr>
        <w:t>The treatment requested is not reasonably available.</w:t>
      </w:r>
    </w:p>
    <w:p w14:paraId="797B0275" w14:textId="7F37FD4F" w:rsidR="00D97A8F" w:rsidRPr="00AD1701" w:rsidRDefault="00D97A8F" w:rsidP="00D97A8F">
      <w:pPr>
        <w:pStyle w:val="p6"/>
        <w:numPr>
          <w:ilvl w:val="0"/>
          <w:numId w:val="9"/>
        </w:numPr>
        <w:jc w:val="both"/>
        <w:rPr>
          <w:rFonts w:ascii="Calibri" w:hAnsi="Calibri" w:cs="Calibri"/>
          <w:sz w:val="24"/>
        </w:rPr>
      </w:pPr>
      <w:r w:rsidRPr="00AD1701">
        <w:rPr>
          <w:rFonts w:ascii="Calibri" w:hAnsi="Calibri" w:cs="Calibri"/>
          <w:sz w:val="24"/>
        </w:rPr>
        <w:t>Compliance is not consistent with applicable law.</w:t>
      </w:r>
    </w:p>
    <w:p w14:paraId="21FDAD2C" w14:textId="23385F4C" w:rsidR="00D97A8F" w:rsidRPr="00AD1701" w:rsidRDefault="00D97A8F" w:rsidP="00D97A8F">
      <w:pPr>
        <w:pStyle w:val="p6"/>
        <w:numPr>
          <w:ilvl w:val="0"/>
          <w:numId w:val="9"/>
        </w:numPr>
        <w:jc w:val="both"/>
        <w:rPr>
          <w:rFonts w:ascii="Calibri" w:hAnsi="Calibri" w:cs="Calibri"/>
          <w:sz w:val="24"/>
        </w:rPr>
      </w:pPr>
      <w:r w:rsidRPr="00AD1701">
        <w:rPr>
          <w:rFonts w:ascii="Calibri" w:hAnsi="Calibri" w:cs="Calibri"/>
          <w:sz w:val="24"/>
        </w:rPr>
        <w:t>Compliance is not consistent with court ordered treatment.</w:t>
      </w:r>
    </w:p>
    <w:p w14:paraId="44ACB85B" w14:textId="42657856" w:rsidR="00D97A8F" w:rsidRPr="00AD1701" w:rsidRDefault="00D97A8F" w:rsidP="00D97A8F">
      <w:pPr>
        <w:pStyle w:val="p6"/>
        <w:numPr>
          <w:ilvl w:val="0"/>
          <w:numId w:val="9"/>
        </w:numPr>
        <w:jc w:val="both"/>
        <w:rPr>
          <w:rFonts w:ascii="Calibri" w:hAnsi="Calibri" w:cs="Calibri"/>
          <w:sz w:val="24"/>
        </w:rPr>
      </w:pPr>
      <w:r w:rsidRPr="00AD1701">
        <w:rPr>
          <w:rFonts w:ascii="Calibri" w:hAnsi="Calibri" w:cs="Calibri"/>
          <w:sz w:val="24"/>
        </w:rPr>
        <w:t>In the mental health professional’s opinion, there is a psychiatric emergency endangering the life of the patient or another individual and compliance is not appropriate under the circumstances.</w:t>
      </w:r>
    </w:p>
    <w:p w14:paraId="49C64BA4" w14:textId="3F322640" w:rsidR="00D97A8F" w:rsidRPr="00AD1701" w:rsidRDefault="00D97A8F" w:rsidP="00D97A8F">
      <w:pPr>
        <w:pStyle w:val="p6"/>
        <w:numPr>
          <w:ilvl w:val="0"/>
          <w:numId w:val="4"/>
        </w:numPr>
        <w:jc w:val="both"/>
        <w:rPr>
          <w:rFonts w:ascii="Calibri" w:hAnsi="Calibri" w:cs="Calibri"/>
          <w:sz w:val="24"/>
          <w:u w:val="single"/>
        </w:rPr>
      </w:pPr>
      <w:r w:rsidRPr="00AD1701">
        <w:rPr>
          <w:rFonts w:ascii="Calibri" w:hAnsi="Calibri" w:cs="Calibri"/>
          <w:sz w:val="24"/>
          <w:u w:val="single"/>
        </w:rPr>
        <w:t>Woodlands will not:</w:t>
      </w:r>
    </w:p>
    <w:p w14:paraId="01F23162" w14:textId="17876947" w:rsidR="00D97A8F" w:rsidRPr="00AD1701" w:rsidRDefault="00D97A8F" w:rsidP="00D97A8F">
      <w:pPr>
        <w:pStyle w:val="p6"/>
        <w:numPr>
          <w:ilvl w:val="0"/>
          <w:numId w:val="10"/>
        </w:numPr>
        <w:jc w:val="both"/>
        <w:rPr>
          <w:rFonts w:ascii="Calibri" w:hAnsi="Calibri" w:cs="Calibri"/>
          <w:sz w:val="24"/>
        </w:rPr>
      </w:pPr>
      <w:r w:rsidRPr="00AD1701">
        <w:rPr>
          <w:rFonts w:ascii="Calibri" w:hAnsi="Calibri" w:cs="Calibri"/>
          <w:sz w:val="24"/>
        </w:rPr>
        <w:t>Provide legal or medical advice or service if a customer expresses a desire to execute an Advance Directive.</w:t>
      </w:r>
    </w:p>
    <w:p w14:paraId="2C2F8E2D" w14:textId="2D71C745" w:rsidR="00D97A8F" w:rsidRPr="00AD1701" w:rsidRDefault="00D97A8F" w:rsidP="00D97A8F">
      <w:pPr>
        <w:pStyle w:val="p6"/>
        <w:numPr>
          <w:ilvl w:val="0"/>
          <w:numId w:val="10"/>
        </w:numPr>
        <w:jc w:val="both"/>
        <w:rPr>
          <w:rFonts w:ascii="Calibri" w:hAnsi="Calibri" w:cs="Calibri"/>
          <w:sz w:val="24"/>
        </w:rPr>
      </w:pPr>
      <w:r w:rsidRPr="00AD1701">
        <w:rPr>
          <w:rFonts w:ascii="Calibri" w:hAnsi="Calibri" w:cs="Calibri"/>
          <w:sz w:val="24"/>
        </w:rPr>
        <w:lastRenderedPageBreak/>
        <w:t>Discriminate or condition the provision of treatment based on whether or not the individual has executed an Advance Directive.</w:t>
      </w:r>
    </w:p>
    <w:p w14:paraId="00F65F70" w14:textId="06B7F61A" w:rsidR="00D97A8F" w:rsidRPr="00AD1701" w:rsidRDefault="00D97A8F" w:rsidP="00D97A8F">
      <w:pPr>
        <w:pStyle w:val="p6"/>
        <w:jc w:val="both"/>
        <w:rPr>
          <w:rFonts w:ascii="Calibri" w:hAnsi="Calibri" w:cs="Calibri"/>
          <w:sz w:val="24"/>
        </w:rPr>
      </w:pPr>
    </w:p>
    <w:p w14:paraId="5A68EF94" w14:textId="59EC42B3" w:rsidR="00D97A8F" w:rsidRPr="00AD1701" w:rsidRDefault="00D97A8F" w:rsidP="00D97A8F">
      <w:pPr>
        <w:pStyle w:val="p6"/>
        <w:jc w:val="both"/>
        <w:rPr>
          <w:rFonts w:ascii="Calibri" w:hAnsi="Calibri" w:cs="Calibri"/>
          <w:b/>
          <w:sz w:val="24"/>
        </w:rPr>
      </w:pPr>
      <w:r w:rsidRPr="00AD1701">
        <w:rPr>
          <w:rFonts w:ascii="Calibri" w:hAnsi="Calibri" w:cs="Calibri"/>
          <w:b/>
          <w:sz w:val="24"/>
        </w:rPr>
        <w:t>R</w:t>
      </w:r>
      <w:r w:rsidR="008950FB" w:rsidRPr="00AD1701">
        <w:rPr>
          <w:rFonts w:ascii="Calibri" w:hAnsi="Calibri" w:cs="Calibri"/>
          <w:b/>
          <w:sz w:val="24"/>
        </w:rPr>
        <w:t>EFERENCES</w:t>
      </w:r>
      <w:r w:rsidRPr="00AD1701">
        <w:rPr>
          <w:rFonts w:ascii="Calibri" w:hAnsi="Calibri" w:cs="Calibri"/>
          <w:b/>
          <w:sz w:val="24"/>
        </w:rPr>
        <w:t>:</w:t>
      </w:r>
    </w:p>
    <w:p w14:paraId="4F612BEE" w14:textId="612EF8AA" w:rsidR="00D97A8F" w:rsidRPr="00AD1701" w:rsidRDefault="00D97A8F" w:rsidP="00D97A8F">
      <w:pPr>
        <w:pStyle w:val="p6"/>
        <w:numPr>
          <w:ilvl w:val="0"/>
          <w:numId w:val="11"/>
        </w:numPr>
        <w:jc w:val="both"/>
        <w:rPr>
          <w:rFonts w:ascii="Calibri" w:hAnsi="Calibri" w:cs="Calibri"/>
          <w:sz w:val="24"/>
        </w:rPr>
      </w:pPr>
      <w:r w:rsidRPr="00AD1701">
        <w:rPr>
          <w:rFonts w:ascii="Calibri" w:hAnsi="Calibri" w:cs="Calibri"/>
          <w:sz w:val="24"/>
        </w:rPr>
        <w:t>Medicaid Managed Care Regulations: 42 CFR 422.128, 42 CFR 438.3(j), 42 CFR 438.6</w:t>
      </w:r>
    </w:p>
    <w:p w14:paraId="62068286" w14:textId="4E568705" w:rsidR="00D97A8F" w:rsidRPr="00AD1701" w:rsidRDefault="00D97A8F" w:rsidP="00D97A8F">
      <w:pPr>
        <w:pStyle w:val="p6"/>
        <w:numPr>
          <w:ilvl w:val="0"/>
          <w:numId w:val="11"/>
        </w:numPr>
        <w:jc w:val="both"/>
        <w:rPr>
          <w:rFonts w:ascii="Calibri" w:hAnsi="Calibri" w:cs="Calibri"/>
          <w:sz w:val="24"/>
        </w:rPr>
      </w:pPr>
      <w:r w:rsidRPr="00AD1701">
        <w:rPr>
          <w:rFonts w:ascii="Calibri" w:hAnsi="Calibri" w:cs="Calibri"/>
          <w:sz w:val="24"/>
        </w:rPr>
        <w:t>MDHHS/PIHP Contract</w:t>
      </w:r>
      <w:r w:rsidR="00FD6761" w:rsidRPr="00AD1701">
        <w:rPr>
          <w:rFonts w:ascii="Calibri" w:hAnsi="Calibri" w:cs="Calibri"/>
          <w:sz w:val="24"/>
        </w:rPr>
        <w:t>: General requirements (Q5) Advance Directives Compliance</w:t>
      </w:r>
      <w:r w:rsidRPr="00AD1701">
        <w:rPr>
          <w:rFonts w:ascii="Calibri" w:hAnsi="Calibri" w:cs="Calibri"/>
          <w:sz w:val="24"/>
        </w:rPr>
        <w:t xml:space="preserve"> </w:t>
      </w:r>
    </w:p>
    <w:p w14:paraId="2FEE89BA" w14:textId="1B5BA565" w:rsidR="00D97A8F" w:rsidRPr="00AD1701" w:rsidRDefault="00D97A8F" w:rsidP="00D97A8F">
      <w:pPr>
        <w:pStyle w:val="p6"/>
        <w:numPr>
          <w:ilvl w:val="0"/>
          <w:numId w:val="11"/>
        </w:numPr>
        <w:jc w:val="both"/>
        <w:rPr>
          <w:rFonts w:ascii="Calibri" w:hAnsi="Calibri" w:cs="Calibri"/>
          <w:sz w:val="24"/>
        </w:rPr>
      </w:pPr>
      <w:r w:rsidRPr="00AD1701">
        <w:rPr>
          <w:rFonts w:ascii="Calibri" w:hAnsi="Calibri" w:cs="Calibri"/>
          <w:sz w:val="24"/>
        </w:rPr>
        <w:t>The Michigan Do-Not-Resuscitate Procedure Act (MDNRPA)</w:t>
      </w:r>
    </w:p>
    <w:p w14:paraId="25E4C9DE" w14:textId="5E10345A" w:rsidR="00D97A8F" w:rsidRPr="00AD1701" w:rsidRDefault="00D97A8F" w:rsidP="00D97A8F">
      <w:pPr>
        <w:pStyle w:val="p6"/>
        <w:numPr>
          <w:ilvl w:val="0"/>
          <w:numId w:val="11"/>
        </w:numPr>
        <w:jc w:val="both"/>
        <w:rPr>
          <w:rFonts w:ascii="Calibri" w:hAnsi="Calibri" w:cs="Calibri"/>
          <w:sz w:val="24"/>
        </w:rPr>
      </w:pPr>
      <w:r w:rsidRPr="00AD1701">
        <w:rPr>
          <w:rFonts w:ascii="Calibri" w:hAnsi="Calibri" w:cs="Calibri"/>
          <w:sz w:val="24"/>
        </w:rPr>
        <w:t xml:space="preserve">MCLA 333.1051 et </w:t>
      </w:r>
      <w:r w:rsidR="00994DED" w:rsidRPr="00AD1701">
        <w:rPr>
          <w:rFonts w:ascii="Calibri" w:hAnsi="Calibri" w:cs="Calibri"/>
          <w:sz w:val="24"/>
        </w:rPr>
        <w:t>seq.</w:t>
      </w:r>
    </w:p>
    <w:p w14:paraId="6AC551E1" w14:textId="1FE4F0D1" w:rsidR="00D97A8F" w:rsidRDefault="00D97A8F" w:rsidP="00D97A8F">
      <w:pPr>
        <w:pStyle w:val="p6"/>
        <w:numPr>
          <w:ilvl w:val="0"/>
          <w:numId w:val="11"/>
        </w:numPr>
        <w:jc w:val="both"/>
        <w:rPr>
          <w:rFonts w:ascii="Calibri" w:hAnsi="Calibri" w:cs="Calibri"/>
          <w:sz w:val="24"/>
        </w:rPr>
      </w:pPr>
      <w:r w:rsidRPr="00AD1701">
        <w:rPr>
          <w:rFonts w:ascii="Calibri" w:hAnsi="Calibri" w:cs="Calibri"/>
          <w:sz w:val="24"/>
        </w:rPr>
        <w:t>The Patient</w:t>
      </w:r>
      <w:r w:rsidR="00994DED" w:rsidRPr="00AD1701">
        <w:rPr>
          <w:rFonts w:ascii="Calibri" w:hAnsi="Calibri" w:cs="Calibri"/>
          <w:sz w:val="24"/>
        </w:rPr>
        <w:t xml:space="preserve"> Advocate Act, Part 5 of the Estates and Protected Individuals Code (EPIC) MCLA 700.506 et seq.</w:t>
      </w:r>
    </w:p>
    <w:p w14:paraId="2CF7346E" w14:textId="4B0F013E" w:rsidR="00F252BE" w:rsidRPr="00AD1701" w:rsidRDefault="00F252BE" w:rsidP="00D97A8F">
      <w:pPr>
        <w:pStyle w:val="p6"/>
        <w:numPr>
          <w:ilvl w:val="0"/>
          <w:numId w:val="11"/>
        </w:numPr>
        <w:jc w:val="both"/>
        <w:rPr>
          <w:rFonts w:ascii="Calibri" w:hAnsi="Calibri" w:cs="Calibri"/>
          <w:sz w:val="24"/>
        </w:rPr>
      </w:pPr>
      <w:r>
        <w:rPr>
          <w:rFonts w:ascii="Calibri" w:hAnsi="Calibri" w:cs="Calibri"/>
          <w:sz w:val="24"/>
        </w:rPr>
        <w:t>SWMBH Operating Policy 6.03</w:t>
      </w:r>
    </w:p>
    <w:p w14:paraId="5235CE1D" w14:textId="093D0989" w:rsidR="00994DED" w:rsidRPr="00AD1701" w:rsidRDefault="00994DED" w:rsidP="00994DED">
      <w:pPr>
        <w:pStyle w:val="p6"/>
        <w:ind w:left="720"/>
        <w:jc w:val="both"/>
        <w:rPr>
          <w:rFonts w:ascii="Calibri" w:hAnsi="Calibri" w:cs="Calibri"/>
          <w:sz w:val="24"/>
        </w:rPr>
      </w:pPr>
    </w:p>
    <w:p w14:paraId="21B21518" w14:textId="47E00B9D" w:rsidR="00FD6761" w:rsidRPr="00AD1701" w:rsidRDefault="00FD6761" w:rsidP="00994DED">
      <w:pPr>
        <w:pStyle w:val="p6"/>
        <w:ind w:left="720"/>
        <w:jc w:val="both"/>
        <w:rPr>
          <w:rFonts w:ascii="Calibri" w:hAnsi="Calibri" w:cs="Calibri"/>
          <w:sz w:val="24"/>
        </w:rPr>
      </w:pPr>
    </w:p>
    <w:p w14:paraId="1CFE8557" w14:textId="0E5B92C8" w:rsidR="00FD6761" w:rsidRPr="00AD1701" w:rsidRDefault="00FD6761" w:rsidP="00FD6761">
      <w:pPr>
        <w:pStyle w:val="p6"/>
        <w:rPr>
          <w:rFonts w:ascii="Calibri" w:hAnsi="Calibri" w:cs="Calibri"/>
          <w:sz w:val="24"/>
        </w:rPr>
      </w:pPr>
    </w:p>
    <w:p w14:paraId="7A3DEEB7" w14:textId="34FBCBAE" w:rsidR="00024203" w:rsidRPr="00AD1701" w:rsidRDefault="00024203" w:rsidP="00C37920">
      <w:pPr>
        <w:pStyle w:val="p6"/>
        <w:jc w:val="both"/>
        <w:rPr>
          <w:rFonts w:ascii="Calibri" w:hAnsi="Calibri" w:cs="Calibri"/>
          <w:sz w:val="24"/>
        </w:rPr>
      </w:pPr>
    </w:p>
    <w:p w14:paraId="3AC1ACF3" w14:textId="77777777" w:rsidR="00024203" w:rsidRPr="00AD1701" w:rsidRDefault="00024203" w:rsidP="00C37920">
      <w:pPr>
        <w:pStyle w:val="p6"/>
        <w:jc w:val="both"/>
        <w:rPr>
          <w:rFonts w:ascii="Calibri" w:hAnsi="Calibri" w:cs="Calibri"/>
          <w:sz w:val="24"/>
        </w:rPr>
      </w:pPr>
    </w:p>
    <w:sectPr w:rsidR="00024203" w:rsidRPr="00AD1701" w:rsidSect="00520729">
      <w:pgSz w:w="12240" w:h="15840"/>
      <w:pgMar w:top="1008" w:right="172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158"/>
    <w:multiLevelType w:val="hybridMultilevel"/>
    <w:tmpl w:val="962EC88A"/>
    <w:lvl w:ilvl="0" w:tplc="1C74D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6271C"/>
    <w:multiLevelType w:val="hybridMultilevel"/>
    <w:tmpl w:val="26F87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47501"/>
    <w:multiLevelType w:val="hybridMultilevel"/>
    <w:tmpl w:val="ACB66060"/>
    <w:lvl w:ilvl="0" w:tplc="F42CC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A46CF"/>
    <w:multiLevelType w:val="hybridMultilevel"/>
    <w:tmpl w:val="ECA8743E"/>
    <w:lvl w:ilvl="0" w:tplc="1E76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742CD8"/>
    <w:multiLevelType w:val="hybridMultilevel"/>
    <w:tmpl w:val="9AF06D10"/>
    <w:lvl w:ilvl="0" w:tplc="F678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2F694F"/>
    <w:multiLevelType w:val="hybridMultilevel"/>
    <w:tmpl w:val="DB5C16E6"/>
    <w:lvl w:ilvl="0" w:tplc="1A7C6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34E9D"/>
    <w:multiLevelType w:val="hybridMultilevel"/>
    <w:tmpl w:val="21EA9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24279"/>
    <w:multiLevelType w:val="hybridMultilevel"/>
    <w:tmpl w:val="6B0E6266"/>
    <w:lvl w:ilvl="0" w:tplc="A4001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FF1AFE"/>
    <w:multiLevelType w:val="hybridMultilevel"/>
    <w:tmpl w:val="048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674B2"/>
    <w:multiLevelType w:val="hybridMultilevel"/>
    <w:tmpl w:val="ACBAC9A2"/>
    <w:lvl w:ilvl="0" w:tplc="0DA8630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9632917"/>
    <w:multiLevelType w:val="hybridMultilevel"/>
    <w:tmpl w:val="CB343F62"/>
    <w:lvl w:ilvl="0" w:tplc="0409000F">
      <w:start w:val="1"/>
      <w:numFmt w:val="decimal"/>
      <w:lvlText w:val="%1."/>
      <w:lvlJc w:val="left"/>
      <w:pPr>
        <w:tabs>
          <w:tab w:val="num" w:pos="720"/>
        </w:tabs>
        <w:ind w:left="720" w:hanging="360"/>
      </w:pPr>
      <w:rPr>
        <w:rFonts w:hint="default"/>
      </w:rPr>
    </w:lvl>
    <w:lvl w:ilvl="1" w:tplc="EA740F2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8440473">
    <w:abstractNumId w:val="10"/>
  </w:num>
  <w:num w:numId="2" w16cid:durableId="473914254">
    <w:abstractNumId w:val="9"/>
  </w:num>
  <w:num w:numId="3" w16cid:durableId="1217009614">
    <w:abstractNumId w:val="1"/>
  </w:num>
  <w:num w:numId="4" w16cid:durableId="733040700">
    <w:abstractNumId w:val="8"/>
  </w:num>
  <w:num w:numId="5" w16cid:durableId="768432028">
    <w:abstractNumId w:val="2"/>
  </w:num>
  <w:num w:numId="6" w16cid:durableId="1894534394">
    <w:abstractNumId w:val="3"/>
  </w:num>
  <w:num w:numId="7" w16cid:durableId="1367563725">
    <w:abstractNumId w:val="0"/>
  </w:num>
  <w:num w:numId="8" w16cid:durableId="1537616666">
    <w:abstractNumId w:val="5"/>
  </w:num>
  <w:num w:numId="9" w16cid:durableId="1293099615">
    <w:abstractNumId w:val="7"/>
  </w:num>
  <w:num w:numId="10" w16cid:durableId="1530681822">
    <w:abstractNumId w:val="4"/>
  </w:num>
  <w:num w:numId="11" w16cid:durableId="819077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B6"/>
    <w:rsid w:val="00013809"/>
    <w:rsid w:val="000231B2"/>
    <w:rsid w:val="00024203"/>
    <w:rsid w:val="000B18BB"/>
    <w:rsid w:val="000C33AC"/>
    <w:rsid w:val="00130432"/>
    <w:rsid w:val="001446BB"/>
    <w:rsid w:val="00161CD8"/>
    <w:rsid w:val="00165219"/>
    <w:rsid w:val="00181F5C"/>
    <w:rsid w:val="0019473B"/>
    <w:rsid w:val="001C7D26"/>
    <w:rsid w:val="0021394C"/>
    <w:rsid w:val="002627C3"/>
    <w:rsid w:val="002E7F0E"/>
    <w:rsid w:val="00365125"/>
    <w:rsid w:val="00455275"/>
    <w:rsid w:val="00473304"/>
    <w:rsid w:val="004F43BF"/>
    <w:rsid w:val="00520729"/>
    <w:rsid w:val="005C4443"/>
    <w:rsid w:val="00781B26"/>
    <w:rsid w:val="007B09C3"/>
    <w:rsid w:val="00810127"/>
    <w:rsid w:val="00814924"/>
    <w:rsid w:val="0088672C"/>
    <w:rsid w:val="008950FB"/>
    <w:rsid w:val="00897D32"/>
    <w:rsid w:val="009236D6"/>
    <w:rsid w:val="00924046"/>
    <w:rsid w:val="009312B6"/>
    <w:rsid w:val="00994DED"/>
    <w:rsid w:val="00A3406E"/>
    <w:rsid w:val="00AD1701"/>
    <w:rsid w:val="00B31D55"/>
    <w:rsid w:val="00B7309F"/>
    <w:rsid w:val="00BF5E06"/>
    <w:rsid w:val="00C200FA"/>
    <w:rsid w:val="00C22F9B"/>
    <w:rsid w:val="00C37920"/>
    <w:rsid w:val="00CA3731"/>
    <w:rsid w:val="00CD30CE"/>
    <w:rsid w:val="00D97A8F"/>
    <w:rsid w:val="00EA7DE4"/>
    <w:rsid w:val="00EE78B5"/>
    <w:rsid w:val="00F02D61"/>
    <w:rsid w:val="00F252BE"/>
    <w:rsid w:val="00FD6761"/>
    <w:rsid w:val="00FE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DB87"/>
  <w15:chartTrackingRefBased/>
  <w15:docId w15:val="{8ACA3605-075C-409E-ACA6-BAEA6AD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Table Text"/>
    <w:qFormat/>
    <w:rsid w:val="009312B6"/>
    <w:pPr>
      <w:spacing w:before="120" w:after="120" w:line="240" w:lineRule="auto"/>
    </w:pPr>
    <w:rPr>
      <w:rFonts w:ascii="Calibri" w:eastAsia="PMingLiU"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ectionHeadingsChar">
    <w:name w:val="A Section Headings Char"/>
    <w:basedOn w:val="DefaultParagraphFont"/>
    <w:link w:val="ASectionHeadings"/>
    <w:locked/>
    <w:rsid w:val="009312B6"/>
    <w:rPr>
      <w:rFonts w:ascii="Calibri" w:hAnsi="Calibri" w:cs="Arial"/>
      <w:b/>
      <w:sz w:val="28"/>
      <w:szCs w:val="28"/>
    </w:rPr>
  </w:style>
  <w:style w:type="paragraph" w:customStyle="1" w:styleId="ASectionHeadings">
    <w:name w:val="A Section Headings"/>
    <w:basedOn w:val="Normal"/>
    <w:link w:val="ASectionHeadingsChar"/>
    <w:qFormat/>
    <w:rsid w:val="009312B6"/>
    <w:pPr>
      <w:spacing w:before="60" w:after="60"/>
    </w:pPr>
    <w:rPr>
      <w:rFonts w:eastAsiaTheme="minorHAnsi" w:cs="Arial"/>
      <w:b/>
      <w:sz w:val="28"/>
      <w:szCs w:val="28"/>
    </w:rPr>
  </w:style>
  <w:style w:type="paragraph" w:customStyle="1" w:styleId="p6">
    <w:name w:val="p6"/>
    <w:basedOn w:val="Normal"/>
    <w:rsid w:val="009236D6"/>
    <w:pPr>
      <w:widowControl w:val="0"/>
      <w:autoSpaceDE w:val="0"/>
      <w:autoSpaceDN w:val="0"/>
      <w:adjustRightInd w:val="0"/>
      <w:spacing w:before="0" w:after="0"/>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10085">
      <w:bodyDiv w:val="1"/>
      <w:marLeft w:val="0"/>
      <w:marRight w:val="0"/>
      <w:marTop w:val="0"/>
      <w:marBottom w:val="0"/>
      <w:divBdr>
        <w:top w:val="none" w:sz="0" w:space="0" w:color="auto"/>
        <w:left w:val="none" w:sz="0" w:space="0" w:color="auto"/>
        <w:bottom w:val="none" w:sz="0" w:space="0" w:color="auto"/>
        <w:right w:val="none" w:sz="0" w:space="0" w:color="auto"/>
      </w:divBdr>
    </w:div>
    <w:div w:id="17621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Regina Wolverton</cp:lastModifiedBy>
  <cp:revision>6</cp:revision>
  <cp:lastPrinted>2022-05-18T12:24:00Z</cp:lastPrinted>
  <dcterms:created xsi:type="dcterms:W3CDTF">2022-05-18T17:42:00Z</dcterms:created>
  <dcterms:modified xsi:type="dcterms:W3CDTF">2022-05-19T17:08:00Z</dcterms:modified>
</cp:coreProperties>
</file>